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730A0" w:rsidP="00494130">
      <w:pPr>
        <w:pStyle w:val="Heading1"/>
        <w:spacing w:before="170"/>
        <w:ind w:left="0"/>
      </w:pPr>
      <w:r w:rsidRPr="001730A0">
        <w:rPr>
          <w:color w:val="337AB7"/>
        </w:rPr>
        <w:t>Car as Power Plant: SOFC-PEMFC integrated high efficiency transportation systems</w:t>
      </w:r>
    </w:p>
    <w:p w:rsidR="001730A0" w:rsidRPr="001730A0" w:rsidRDefault="001730A0" w:rsidP="001730A0">
      <w:pPr>
        <w:pStyle w:val="BodyText"/>
        <w:spacing w:before="73" w:line="198" w:lineRule="exact"/>
        <w:ind w:left="100" w:right="5987"/>
        <w:rPr>
          <w:rFonts w:ascii="Arial"/>
        </w:rPr>
      </w:pPr>
      <w:proofErr w:type="spellStart"/>
      <w:r w:rsidRPr="001730A0">
        <w:rPr>
          <w:rFonts w:ascii="Arial"/>
        </w:rPr>
        <w:t>P.V.Aravind</w:t>
      </w:r>
      <w:r w:rsidRPr="001730A0">
        <w:rPr>
          <w:rFonts w:ascii="Arial"/>
          <w:vertAlign w:val="superscript"/>
        </w:rPr>
        <w:t>a</w:t>
      </w:r>
      <w:proofErr w:type="spellEnd"/>
      <w:r w:rsidRPr="001730A0">
        <w:rPr>
          <w:rFonts w:ascii="Arial"/>
        </w:rPr>
        <w:t xml:space="preserve">, </w:t>
      </w:r>
      <w:proofErr w:type="spellStart"/>
      <w:r w:rsidRPr="001730A0">
        <w:rPr>
          <w:rFonts w:ascii="Arial"/>
        </w:rPr>
        <w:t>A.Fernandes</w:t>
      </w:r>
      <w:r w:rsidRPr="001730A0">
        <w:rPr>
          <w:rFonts w:ascii="Arial"/>
          <w:vertAlign w:val="superscript"/>
        </w:rPr>
        <w:t>a</w:t>
      </w:r>
      <w:proofErr w:type="spellEnd"/>
      <w:r w:rsidRPr="001730A0">
        <w:rPr>
          <w:rFonts w:ascii="Arial"/>
        </w:rPr>
        <w:t xml:space="preserve">, </w:t>
      </w:r>
      <w:proofErr w:type="spellStart"/>
      <w:r w:rsidRPr="001730A0">
        <w:rPr>
          <w:rFonts w:ascii="Arial"/>
        </w:rPr>
        <w:t>T.Woudstra</w:t>
      </w:r>
      <w:r w:rsidRPr="001730A0">
        <w:rPr>
          <w:rFonts w:ascii="Arial"/>
          <w:vertAlign w:val="superscript"/>
        </w:rPr>
        <w:t>a</w:t>
      </w:r>
      <w:proofErr w:type="spellEnd"/>
      <w:r w:rsidRPr="001730A0">
        <w:rPr>
          <w:rFonts w:ascii="Arial"/>
        </w:rPr>
        <w:t xml:space="preserve">,  </w:t>
      </w:r>
      <w:proofErr w:type="spellStart"/>
      <w:r w:rsidRPr="001730A0">
        <w:rPr>
          <w:rFonts w:ascii="Arial"/>
        </w:rPr>
        <w:t>L.Verhoef</w:t>
      </w:r>
      <w:r w:rsidRPr="001730A0">
        <w:rPr>
          <w:rFonts w:ascii="Arial"/>
          <w:vertAlign w:val="superscript"/>
        </w:rPr>
        <w:t>b</w:t>
      </w:r>
      <w:proofErr w:type="spellEnd"/>
      <w:r w:rsidRPr="001730A0">
        <w:rPr>
          <w:rFonts w:ascii="Arial"/>
        </w:rPr>
        <w:t xml:space="preserve">, </w:t>
      </w:r>
      <w:proofErr w:type="spellStart"/>
      <w:r w:rsidRPr="001730A0">
        <w:rPr>
          <w:rFonts w:ascii="Arial"/>
        </w:rPr>
        <w:t>A.van</w:t>
      </w:r>
      <w:proofErr w:type="spellEnd"/>
      <w:r w:rsidRPr="001730A0">
        <w:rPr>
          <w:rFonts w:ascii="Arial"/>
        </w:rPr>
        <w:t xml:space="preserve"> </w:t>
      </w:r>
      <w:proofErr w:type="spellStart"/>
      <w:r w:rsidRPr="001730A0">
        <w:rPr>
          <w:rFonts w:ascii="Arial"/>
        </w:rPr>
        <w:t>Wijk</w:t>
      </w:r>
      <w:r w:rsidRPr="001730A0">
        <w:rPr>
          <w:rFonts w:ascii="Arial"/>
          <w:vertAlign w:val="superscript"/>
        </w:rPr>
        <w:t>a</w:t>
      </w:r>
      <w:proofErr w:type="spellEnd"/>
    </w:p>
    <w:p w:rsidR="001730A0" w:rsidRPr="001730A0" w:rsidRDefault="001730A0" w:rsidP="001730A0">
      <w:pPr>
        <w:pStyle w:val="BodyText"/>
        <w:spacing w:before="73" w:line="198" w:lineRule="exact"/>
        <w:ind w:left="100" w:right="5987"/>
        <w:rPr>
          <w:rFonts w:ascii="Arial"/>
        </w:rPr>
      </w:pPr>
      <w:r w:rsidRPr="001730A0">
        <w:rPr>
          <w:rFonts w:ascii="Arial"/>
        </w:rPr>
        <w:t xml:space="preserve">a: Energy Technology Section, Department of Process and Energy, Delft University of Technology, </w:t>
      </w:r>
      <w:proofErr w:type="spellStart"/>
      <w:r w:rsidRPr="001730A0">
        <w:rPr>
          <w:rFonts w:ascii="Arial"/>
        </w:rPr>
        <w:t>Leeghwaterstraat</w:t>
      </w:r>
      <w:proofErr w:type="spellEnd"/>
      <w:r w:rsidRPr="001730A0">
        <w:rPr>
          <w:rFonts w:ascii="Arial"/>
        </w:rPr>
        <w:t xml:space="preserve"> 39, 2628 CB Delft, The Netherlands</w:t>
      </w:r>
    </w:p>
    <w:p w:rsidR="005973B9" w:rsidRDefault="001730A0" w:rsidP="001730A0">
      <w:pPr>
        <w:pStyle w:val="BodyText"/>
        <w:spacing w:before="73" w:line="198" w:lineRule="exact"/>
        <w:ind w:left="100" w:right="5987"/>
        <w:rPr>
          <w:rFonts w:ascii="Arial"/>
        </w:rPr>
      </w:pPr>
      <w:r>
        <w:rPr>
          <w:rFonts w:ascii="Arial"/>
        </w:rPr>
        <w:t xml:space="preserve">b: </w:t>
      </w:r>
      <w:r w:rsidRPr="001730A0">
        <w:rPr>
          <w:rFonts w:ascii="Arial"/>
        </w:rPr>
        <w:t xml:space="preserve">Green Office, Delft University of Technology, </w:t>
      </w:r>
      <w:proofErr w:type="spellStart"/>
      <w:r w:rsidRPr="001730A0">
        <w:rPr>
          <w:rFonts w:ascii="Arial"/>
        </w:rPr>
        <w:t>Jaffalaan</w:t>
      </w:r>
      <w:proofErr w:type="spellEnd"/>
      <w:r w:rsidRPr="001730A0">
        <w:rPr>
          <w:rFonts w:ascii="Arial"/>
        </w:rPr>
        <w:t xml:space="preserve"> 5, 2628 BX Delft, The Netherlands</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1730A0" w:rsidRDefault="001730A0" w:rsidP="001730A0">
      <w:pPr>
        <w:pStyle w:val="BodyText"/>
        <w:spacing w:before="90" w:line="280" w:lineRule="auto"/>
        <w:ind w:left="100"/>
        <w:jc w:val="both"/>
      </w:pPr>
      <w:r>
        <w:t xml:space="preserve">Automobile industry is expected to change significantly in the coming years and decades. A convenient, technically and economically viable and environmentally friendly transportation system for the future needs to be developed. This requires a comparison  between different technical choices  based on best possible designs achievable. </w:t>
      </w:r>
    </w:p>
    <w:p w:rsidR="001730A0" w:rsidRDefault="001730A0" w:rsidP="001730A0">
      <w:pPr>
        <w:pStyle w:val="BodyText"/>
        <w:spacing w:before="90" w:line="280" w:lineRule="auto"/>
        <w:ind w:left="100"/>
        <w:jc w:val="both"/>
      </w:pPr>
      <w:r>
        <w:t xml:space="preserve">The role of hydrogen and fuel cells in </w:t>
      </w:r>
      <w:r w:rsidR="00523FCA">
        <w:t xml:space="preserve">the </w:t>
      </w:r>
      <w:r>
        <w:t>future transportation systems is bei</w:t>
      </w:r>
      <w:r w:rsidR="00523FCA">
        <w:t xml:space="preserve">ng widely debated. As they are getting </w:t>
      </w:r>
      <w:r>
        <w:t xml:space="preserve"> continuously compared with other  possible options, for example with battery vehicles, it is necessary that efficient system concepts for fuel cell based transportation systems are developed. In this paper, we present an approach to increase </w:t>
      </w:r>
      <w:r w:rsidR="00523FCA">
        <w:t xml:space="preserve">the </w:t>
      </w:r>
      <w:r>
        <w:t xml:space="preserve">efficiencies while using </w:t>
      </w:r>
      <w:r w:rsidR="00523FCA">
        <w:t>different</w:t>
      </w:r>
      <w:r>
        <w:t xml:space="preserve"> fuels for transportation applications, by  making use of different types of fuel cells. </w:t>
      </w:r>
    </w:p>
    <w:p w:rsidR="001730A0" w:rsidRDefault="001730A0" w:rsidP="001730A0">
      <w:pPr>
        <w:pStyle w:val="BodyText"/>
        <w:spacing w:before="90" w:line="280" w:lineRule="auto"/>
        <w:ind w:left="100"/>
        <w:jc w:val="both"/>
      </w:pPr>
      <w:r>
        <w:t>A concept is presented in which a high temperature fuel cell is used as an electricity producing fuel reformer, in this case a Solid Oxide Fuel Cell (SOFC)</w:t>
      </w:r>
      <w:r>
        <w:t xml:space="preserve"> and low temperature fuel cells</w:t>
      </w:r>
      <w:r w:rsidR="00523FCA">
        <w:t xml:space="preserve"> </w:t>
      </w:r>
      <w:r w:rsidR="00523FCA">
        <w:t>onboard for  vehicle propulsion</w:t>
      </w:r>
      <w:r>
        <w:t xml:space="preserve">, </w:t>
      </w:r>
      <w:r w:rsidR="00523FCA">
        <w:t xml:space="preserve">in this case </w:t>
      </w:r>
      <w:r>
        <w:t xml:space="preserve"> Proton Exchange Membrane Fuel Cell</w:t>
      </w:r>
      <w:r w:rsidR="00523FCA">
        <w:t>s</w:t>
      </w:r>
      <w:r>
        <w:t xml:space="preserve"> (PEMFC). </w:t>
      </w:r>
    </w:p>
    <w:p w:rsidR="001730A0" w:rsidRDefault="001730A0" w:rsidP="001730A0">
      <w:pPr>
        <w:pStyle w:val="BodyText"/>
        <w:spacing w:before="90" w:line="280" w:lineRule="auto"/>
        <w:ind w:left="100"/>
        <w:jc w:val="both"/>
      </w:pPr>
      <w:r>
        <w:t xml:space="preserve">A  </w:t>
      </w:r>
      <w:proofErr w:type="spellStart"/>
      <w:r>
        <w:t>trigeneration</w:t>
      </w:r>
      <w:proofErr w:type="spellEnd"/>
      <w:r>
        <w:t xml:space="preserve"> system fed with natural gas and capable of producing electricity, heat, and hydrogen is proposed. Two modes are presented: a Car as Power Plant (</w:t>
      </w:r>
      <w:proofErr w:type="spellStart"/>
      <w:r>
        <w:t>CaPP</w:t>
      </w:r>
      <w:proofErr w:type="spellEnd"/>
      <w:r>
        <w:t>) mode, in which fuel cell electric vehicles (FCEVs) act as energy and water producers while parked; and a pump mode, in which compressed  hydrogen is produced and pumped  to the vehicle’s fuel tank. Different reforming options are presented and compared, a  catalytic reformer (CR), and a solid oxide fuel cell operating as reformer (SOFCR).  Additionally</w:t>
      </w:r>
      <w:r w:rsidR="00523FCA">
        <w:t>,</w:t>
      </w:r>
      <w:r>
        <w:t xml:space="preserve">  the option of integrating  carbon capture and storage (CCS) is also presented. Results indicate that the SOFCR unit significantly reduces the exergy destruction resulting a </w:t>
      </w:r>
      <w:proofErr w:type="spellStart"/>
      <w:r>
        <w:t>trigeneration</w:t>
      </w:r>
      <w:proofErr w:type="spellEnd"/>
      <w:r>
        <w:t xml:space="preserve"> </w:t>
      </w:r>
      <w:r w:rsidR="00523FCA">
        <w:t xml:space="preserve">exergy </w:t>
      </w:r>
      <w:r>
        <w:t>efficiency of around 60%. Addit</w:t>
      </w:r>
      <w:r w:rsidR="00523FCA">
        <w:t>ionally, a brief presentation on</w:t>
      </w:r>
      <w:r>
        <w:t xml:space="preserve"> applying the concept for other types of vehicles also </w:t>
      </w:r>
      <w:r w:rsidR="00523FCA">
        <w:t xml:space="preserve">is </w:t>
      </w:r>
      <w:r>
        <w:t xml:space="preserve"> presented.</w:t>
      </w:r>
    </w:p>
    <w:p w:rsidR="005973B9" w:rsidRDefault="00A9710C" w:rsidP="001730A0">
      <w:pPr>
        <w:pStyle w:val="Heading3"/>
        <w:spacing w:before="74"/>
        <w:rPr>
          <w:b w:val="0"/>
        </w:rPr>
      </w:pPr>
      <w:r>
        <w:rPr>
          <w:b w:val="0"/>
        </w:rPr>
        <w:br w:type="column"/>
      </w:r>
      <w:r w:rsidR="005973B9">
        <w:rPr>
          <w:color w:val="BF5A14"/>
        </w:rPr>
        <w:lastRenderedPageBreak/>
        <w:t xml:space="preserve">Recent Publications </w:t>
      </w:r>
    </w:p>
    <w:p w:rsidR="001730A0" w:rsidRPr="001730A0" w:rsidRDefault="001730A0" w:rsidP="001730A0">
      <w:pPr>
        <w:tabs>
          <w:tab w:val="left" w:pos="384"/>
        </w:tabs>
        <w:ind w:right="117"/>
        <w:rPr>
          <w:rFonts w:ascii="Calibri" w:eastAsia="Calibri" w:hAnsi="Calibri" w:cs="Calibri"/>
          <w:sz w:val="18"/>
        </w:rPr>
      </w:pPr>
    </w:p>
    <w:p w:rsidR="001730A0" w:rsidRPr="001730A0" w:rsidRDefault="001730A0" w:rsidP="001730A0">
      <w:pPr>
        <w:tabs>
          <w:tab w:val="left" w:pos="384"/>
        </w:tabs>
        <w:ind w:right="117"/>
        <w:rPr>
          <w:rFonts w:ascii="Calibri" w:eastAsia="Calibri" w:hAnsi="Calibri" w:cs="Calibri"/>
          <w:sz w:val="18"/>
        </w:rPr>
      </w:pPr>
      <w:r w:rsidRPr="001730A0">
        <w:rPr>
          <w:rFonts w:ascii="Calibri" w:eastAsia="Calibri" w:hAnsi="Calibri" w:cs="Calibri"/>
          <w:sz w:val="18"/>
        </w:rPr>
        <w:t>1)</w:t>
      </w:r>
      <w:r w:rsidRPr="001730A0">
        <w:rPr>
          <w:rFonts w:ascii="Calibri" w:eastAsia="Calibri" w:hAnsi="Calibri" w:cs="Calibri"/>
          <w:sz w:val="18"/>
        </w:rPr>
        <w:tab/>
        <w:t xml:space="preserve">Thallam Thattai, A., Oldenbroek, V., Schoenmakers, L., Woudstra, T., Aravind, P.V,  Towards retrofitting integrated gasification combined cycle (IGCC) power plants with solid oxide fuel cells (SOFC) and CO2 capture – A thermodynamic case study, (2017) Applied Thermal Engineering, 114, p. 170-185. </w:t>
      </w:r>
    </w:p>
    <w:p w:rsidR="001730A0" w:rsidRPr="001730A0" w:rsidRDefault="001730A0" w:rsidP="001730A0">
      <w:pPr>
        <w:tabs>
          <w:tab w:val="left" w:pos="384"/>
        </w:tabs>
        <w:ind w:right="117"/>
        <w:rPr>
          <w:rFonts w:ascii="Calibri" w:eastAsia="Calibri" w:hAnsi="Calibri" w:cs="Calibri"/>
          <w:sz w:val="18"/>
        </w:rPr>
      </w:pPr>
    </w:p>
    <w:p w:rsidR="001730A0" w:rsidRPr="001730A0" w:rsidRDefault="001730A0" w:rsidP="001730A0">
      <w:pPr>
        <w:tabs>
          <w:tab w:val="left" w:pos="384"/>
        </w:tabs>
        <w:ind w:right="117"/>
        <w:rPr>
          <w:rFonts w:ascii="Calibri" w:eastAsia="Calibri" w:hAnsi="Calibri" w:cs="Calibri"/>
          <w:sz w:val="18"/>
        </w:rPr>
      </w:pPr>
      <w:r w:rsidRPr="001730A0">
        <w:rPr>
          <w:rFonts w:ascii="Calibri" w:eastAsia="Calibri" w:hAnsi="Calibri" w:cs="Calibri"/>
          <w:sz w:val="18"/>
        </w:rPr>
        <w:t>2)</w:t>
      </w:r>
      <w:r w:rsidRPr="001730A0">
        <w:rPr>
          <w:rFonts w:ascii="Calibri" w:eastAsia="Calibri" w:hAnsi="Calibri" w:cs="Calibri"/>
          <w:sz w:val="18"/>
        </w:rPr>
        <w:tab/>
        <w:t xml:space="preserve">van Biert, L., Godjevac, M., Visser, K., Aravind, P.V., A review of fuel cell systems for maritime applications, (2016) Journal of Power Sources, 327, p. 345-364. </w:t>
      </w:r>
    </w:p>
    <w:p w:rsidR="001730A0" w:rsidRPr="001730A0" w:rsidRDefault="001730A0" w:rsidP="001730A0">
      <w:pPr>
        <w:tabs>
          <w:tab w:val="left" w:pos="384"/>
        </w:tabs>
        <w:ind w:right="117"/>
        <w:rPr>
          <w:rFonts w:ascii="Calibri" w:eastAsia="Calibri" w:hAnsi="Calibri" w:cs="Calibri"/>
          <w:sz w:val="18"/>
        </w:rPr>
      </w:pPr>
    </w:p>
    <w:p w:rsidR="001730A0" w:rsidRPr="001730A0" w:rsidRDefault="001730A0" w:rsidP="001730A0">
      <w:pPr>
        <w:tabs>
          <w:tab w:val="left" w:pos="384"/>
        </w:tabs>
        <w:ind w:right="117"/>
        <w:rPr>
          <w:rFonts w:ascii="Calibri" w:eastAsia="Calibri" w:hAnsi="Calibri" w:cs="Calibri"/>
          <w:sz w:val="18"/>
        </w:rPr>
      </w:pPr>
      <w:r w:rsidRPr="001730A0">
        <w:rPr>
          <w:rFonts w:ascii="Calibri" w:eastAsia="Calibri" w:hAnsi="Calibri" w:cs="Calibri"/>
          <w:sz w:val="18"/>
        </w:rPr>
        <w:t>3)</w:t>
      </w:r>
      <w:r w:rsidRPr="001730A0">
        <w:rPr>
          <w:rFonts w:ascii="Calibri" w:eastAsia="Calibri" w:hAnsi="Calibri" w:cs="Calibri"/>
          <w:sz w:val="18"/>
        </w:rPr>
        <w:tab/>
        <w:t xml:space="preserve">Thallam Thattai, A., Woudstra, T., Wittebrood, B.J., Haije, W.G., Geerlings, J.J.C., Aravind, P.V., System design and </w:t>
      </w:r>
      <w:proofErr w:type="spellStart"/>
      <w:r w:rsidRPr="001730A0">
        <w:rPr>
          <w:rFonts w:ascii="Calibri" w:eastAsia="Calibri" w:hAnsi="Calibri" w:cs="Calibri"/>
          <w:sz w:val="18"/>
        </w:rPr>
        <w:t>exergetic</w:t>
      </w:r>
      <w:proofErr w:type="spellEnd"/>
      <w:r w:rsidRPr="001730A0">
        <w:rPr>
          <w:rFonts w:ascii="Calibri" w:eastAsia="Calibri" w:hAnsi="Calibri" w:cs="Calibri"/>
          <w:sz w:val="18"/>
        </w:rPr>
        <w:t xml:space="preserve"> evaluation of a flexible integrated reforming combined cycle (IRCC) power plant system with carbon dioxide CO2 capture and metal hydride based hydrogen storage, (2016) International Journal of Greenhouse Gas Control, 52, p. 96-109. </w:t>
      </w:r>
    </w:p>
    <w:p w:rsidR="001730A0" w:rsidRPr="001730A0" w:rsidRDefault="001730A0" w:rsidP="001730A0">
      <w:pPr>
        <w:tabs>
          <w:tab w:val="left" w:pos="384"/>
        </w:tabs>
        <w:ind w:right="117"/>
        <w:rPr>
          <w:rFonts w:ascii="Calibri" w:eastAsia="Calibri" w:hAnsi="Calibri" w:cs="Calibri"/>
          <w:sz w:val="18"/>
        </w:rPr>
      </w:pPr>
    </w:p>
    <w:p w:rsidR="001730A0" w:rsidRPr="001730A0" w:rsidRDefault="001730A0" w:rsidP="001730A0">
      <w:pPr>
        <w:tabs>
          <w:tab w:val="left" w:pos="384"/>
        </w:tabs>
        <w:ind w:right="117"/>
        <w:rPr>
          <w:rFonts w:ascii="Calibri" w:eastAsia="Calibri" w:hAnsi="Calibri" w:cs="Calibri"/>
          <w:sz w:val="18"/>
        </w:rPr>
      </w:pPr>
      <w:r w:rsidRPr="001730A0">
        <w:rPr>
          <w:rFonts w:ascii="Calibri" w:eastAsia="Calibri" w:hAnsi="Calibri" w:cs="Calibri"/>
          <w:sz w:val="18"/>
        </w:rPr>
        <w:t>4)</w:t>
      </w:r>
      <w:r w:rsidRPr="001730A0">
        <w:rPr>
          <w:rFonts w:ascii="Calibri" w:eastAsia="Calibri" w:hAnsi="Calibri" w:cs="Calibri"/>
          <w:sz w:val="18"/>
        </w:rPr>
        <w:tab/>
        <w:t xml:space="preserve">Fernandes, A., Woudstra, T., van Wijk, A., Verhoef, L., Aravind, P.V., Fuel cell electric vehicle as a power plant and SOFC as a natural gas reformer: An exergy analysis of different system designs, (2016) Applied Energy, 173, p. 13-28. </w:t>
      </w:r>
    </w:p>
    <w:p w:rsidR="001730A0" w:rsidRPr="001730A0" w:rsidRDefault="001730A0" w:rsidP="001730A0">
      <w:pPr>
        <w:tabs>
          <w:tab w:val="left" w:pos="384"/>
        </w:tabs>
        <w:ind w:right="117"/>
        <w:rPr>
          <w:rFonts w:ascii="Calibri" w:eastAsia="Calibri" w:hAnsi="Calibri" w:cs="Calibri"/>
          <w:sz w:val="18"/>
        </w:rPr>
      </w:pPr>
    </w:p>
    <w:p w:rsidR="00AE3E37" w:rsidRPr="001730A0" w:rsidRDefault="001730A0" w:rsidP="001730A0">
      <w:pPr>
        <w:tabs>
          <w:tab w:val="left" w:pos="384"/>
        </w:tabs>
        <w:ind w:right="117"/>
        <w:rPr>
          <w:lang w:val="en-GB"/>
        </w:rPr>
      </w:pPr>
      <w:r w:rsidRPr="001730A0">
        <w:rPr>
          <w:rFonts w:ascii="Calibri" w:eastAsia="Calibri" w:hAnsi="Calibri" w:cs="Calibri"/>
          <w:sz w:val="18"/>
        </w:rPr>
        <w:t>5)</w:t>
      </w:r>
      <w:r w:rsidRPr="001730A0">
        <w:rPr>
          <w:rFonts w:ascii="Calibri" w:eastAsia="Calibri" w:hAnsi="Calibri" w:cs="Calibri"/>
          <w:sz w:val="18"/>
        </w:rPr>
        <w:tab/>
        <w:t xml:space="preserve">Thallam Thattai, A., Oldenbroek, V., Schoenmakers, L., Woudstra, T., Aravind, P.V., Experimental model validation and thermodynamic assessment on high percentage (up to 70%) biomass co-gasification at the 253 MW integrated gasification combined cycle power plant in </w:t>
      </w:r>
      <w:proofErr w:type="spellStart"/>
      <w:r w:rsidRPr="001730A0">
        <w:rPr>
          <w:rFonts w:ascii="Calibri" w:eastAsia="Calibri" w:hAnsi="Calibri" w:cs="Calibri"/>
          <w:sz w:val="18"/>
        </w:rPr>
        <w:t>Buggenum</w:t>
      </w:r>
      <w:proofErr w:type="spellEnd"/>
      <w:r w:rsidRPr="001730A0">
        <w:rPr>
          <w:rFonts w:ascii="Calibri" w:eastAsia="Calibri" w:hAnsi="Calibri" w:cs="Calibri"/>
          <w:sz w:val="18"/>
        </w:rPr>
        <w:t>, The Netherlands, (2016) Applied Energy, 168, p. 381-393.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nl-NL" w:eastAsia="nl-N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730A0">
        <w:rPr>
          <w:noProof/>
          <w:lang w:val="nl-NL" w:eastAsia="nl-NL"/>
        </w:rPr>
        <w:drawing>
          <wp:inline distT="0" distB="0" distL="0" distR="0">
            <wp:extent cx="641720" cy="968288"/>
            <wp:effectExtent l="0" t="0" r="635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3188" cy="97050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1730A0">
      <w:pPr>
        <w:spacing w:before="41" w:line="154" w:lineRule="exact"/>
        <w:ind w:left="213" w:right="231"/>
        <w:jc w:val="both"/>
        <w:rPr>
          <w:rFonts w:ascii="Arial"/>
          <w:sz w:val="14"/>
        </w:rPr>
      </w:pPr>
      <w:r>
        <w:rPr>
          <w:rFonts w:ascii="Arial"/>
          <w:sz w:val="14"/>
        </w:rPr>
        <w:t xml:space="preserve">Dr </w:t>
      </w:r>
      <w:r w:rsidRPr="001730A0">
        <w:rPr>
          <w:rFonts w:ascii="Arial"/>
          <w:sz w:val="14"/>
        </w:rPr>
        <w:t>PV  Aravind is an Associate Professor at Delft University of Technology, The Netherlands (Faculty of Mechanical, Maritime and Materials Engineering).  He teaches courses on Thermodynamics of Energy Conversion and Fuel Cell Systems. He also teaches at Technical University  Munich in Germany  and  contributes to a course at KU Leuven in Belgium. He is/was involved in several national, European and international   energy related  research projects focusing on fuel cell systems. Currently, he supervises a team of ten  PhD students,  three Postdoctoral Researchers and several MSc students.    He is a member of the International Energy Agency SOFC Annex and is also in the steering committee of European Energy Research Alliance for Hydrogen and Fuel Cells</w:t>
      </w:r>
    </w:p>
    <w:p w:rsidR="00AE3E37" w:rsidRDefault="00A9710C">
      <w:pPr>
        <w:spacing w:before="62"/>
        <w:ind w:left="4217" w:right="4235"/>
        <w:jc w:val="center"/>
        <w:rPr>
          <w:rFonts w:ascii="Arial"/>
          <w:sz w:val="14"/>
        </w:rPr>
      </w:pPr>
      <w:r>
        <w:rPr>
          <w:rFonts w:ascii="Arial"/>
          <w:sz w:val="14"/>
        </w:rPr>
        <w:t xml:space="preserve">Email: </w:t>
      </w:r>
      <w:hyperlink r:id="rId11" w:history="1">
        <w:r w:rsidR="001730A0" w:rsidRPr="00BF3E65">
          <w:rPr>
            <w:rStyle w:val="Hyperlink"/>
            <w:rFonts w:ascii="Arial"/>
            <w:sz w:val="14"/>
          </w:rPr>
          <w:t>p.v.aravind@tudelft.nl</w:t>
        </w:r>
      </w:hyperlink>
    </w:p>
    <w:p w:rsidR="00AE3E37" w:rsidRDefault="00292ED9" w:rsidP="00E003AB">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lang w:val="nl-NL" w:eastAsia="nl-NL"/>
        </w:rPr>
        <mc:AlternateContent>
          <mc:Choice Requires="wps">
            <w:drawing>
              <wp:anchor distT="0" distB="0" distL="0" distR="0" simplePos="0" relativeHeight="1072" behindDoc="0" locked="0" layoutInCell="1" allowOverlap="1" wp14:anchorId="4314D574" wp14:editId="114D984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51D" w:rsidRDefault="00A0051D">
      <w:r>
        <w:separator/>
      </w:r>
    </w:p>
  </w:endnote>
  <w:endnote w:type="continuationSeparator" w:id="0">
    <w:p w:rsidR="00A0051D" w:rsidRDefault="00A00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nl-NL" w:eastAsia="nl-N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nl-NL" w:eastAsia="nl-N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nl-NL" w:eastAsia="nl-N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51D" w:rsidRDefault="00A0051D">
      <w:r>
        <w:separator/>
      </w:r>
    </w:p>
  </w:footnote>
  <w:footnote w:type="continuationSeparator" w:id="0">
    <w:p w:rsidR="00A0051D" w:rsidRDefault="00A005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nl-NL" w:eastAsia="nl-N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nl-NL" w:eastAsia="nl-N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hideSpellingErrors/>
  <w:hideGrammaticalErrors/>
  <w:proofState w:spelling="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7B73"/>
    <w:rsid w:val="001263DF"/>
    <w:rsid w:val="001730A0"/>
    <w:rsid w:val="00292ED9"/>
    <w:rsid w:val="003C0D6D"/>
    <w:rsid w:val="00404E5B"/>
    <w:rsid w:val="00414F7B"/>
    <w:rsid w:val="004355DC"/>
    <w:rsid w:val="004749B4"/>
    <w:rsid w:val="00494130"/>
    <w:rsid w:val="004F3523"/>
    <w:rsid w:val="00523FCA"/>
    <w:rsid w:val="005973B9"/>
    <w:rsid w:val="005B3A56"/>
    <w:rsid w:val="006060CE"/>
    <w:rsid w:val="0063497F"/>
    <w:rsid w:val="006773C5"/>
    <w:rsid w:val="00873DF0"/>
    <w:rsid w:val="008756E6"/>
    <w:rsid w:val="00902071"/>
    <w:rsid w:val="009B2D44"/>
    <w:rsid w:val="00A0051D"/>
    <w:rsid w:val="00A07E82"/>
    <w:rsid w:val="00A9710C"/>
    <w:rsid w:val="00AE3E37"/>
    <w:rsid w:val="00B21A57"/>
    <w:rsid w:val="00C33602"/>
    <w:rsid w:val="00C9149C"/>
    <w:rsid w:val="00CD6F55"/>
    <w:rsid w:val="00DE3104"/>
    <w:rsid w:val="00E003A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p.v.aravind@tudelft.nl"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7FC12CEC</Template>
  <TotalTime>5</TotalTime>
  <Pages>1</Pages>
  <Words>723</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Aravind Aravind - 3ME</cp:lastModifiedBy>
  <cp:revision>3</cp:revision>
  <dcterms:created xsi:type="dcterms:W3CDTF">2017-09-14T12:45:00Z</dcterms:created>
  <dcterms:modified xsi:type="dcterms:W3CDTF">2017-09-14T12:45:00Z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