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565481" w14:textId="26C82446" w:rsidR="00FD38B6" w:rsidRPr="00FD38B6" w:rsidRDefault="00FD38B6" w:rsidP="00FD38B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eastAsia="pt-PT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eastAsia="pt-PT"/>
        </w:rPr>
        <w:t>Objectives</w:t>
      </w:r>
      <w:r w:rsidRPr="00FD38B6"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eastAsia="pt-PT"/>
        </w:rPr>
        <w:t>:</w:t>
      </w:r>
    </w:p>
    <w:p w14:paraId="61F4AECE" w14:textId="77777777" w:rsidR="00FD38B6" w:rsidRPr="00FD38B6" w:rsidRDefault="00FD38B6" w:rsidP="00FD38B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</w:pPr>
      <w:proofErr w:type="spellStart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>Spondyloartrhitis</w:t>
      </w:r>
      <w:proofErr w:type="spellEnd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 xml:space="preserve"> (</w:t>
      </w:r>
      <w:proofErr w:type="spellStart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>SpA</w:t>
      </w:r>
      <w:proofErr w:type="spellEnd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 xml:space="preserve">) is a chronic inflammatory disease predominantly affecting the axial skeleton and possibly the peripheral joints and entheses with a major impact on quality of life. There is increasing evidence that IL-17A blockade can be effective in patients with active </w:t>
      </w:r>
      <w:proofErr w:type="spellStart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>SpA</w:t>
      </w:r>
      <w:proofErr w:type="spellEnd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 xml:space="preserve">. Our goal is to evaluate short term efficacy of </w:t>
      </w:r>
      <w:proofErr w:type="spellStart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>secukinumab</w:t>
      </w:r>
      <w:proofErr w:type="spellEnd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 xml:space="preserve"> in the management of </w:t>
      </w:r>
      <w:proofErr w:type="spellStart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>SpA</w:t>
      </w:r>
      <w:proofErr w:type="spellEnd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>.</w:t>
      </w:r>
    </w:p>
    <w:p w14:paraId="02E2FBCB" w14:textId="77777777" w:rsidR="00FD38B6" w:rsidRPr="00FD38B6" w:rsidRDefault="00FD38B6" w:rsidP="00FD38B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eastAsia="pt-PT"/>
        </w:rPr>
      </w:pPr>
      <w:r w:rsidRPr="00FD38B6"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eastAsia="pt-PT"/>
        </w:rPr>
        <w:t>Methods:</w:t>
      </w:r>
    </w:p>
    <w:p w14:paraId="58E23DE3" w14:textId="77777777" w:rsidR="00FD38B6" w:rsidRPr="00FD38B6" w:rsidRDefault="00FD38B6" w:rsidP="00FD38B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</w:pPr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 xml:space="preserve">Observational retrospective study with </w:t>
      </w:r>
      <w:proofErr w:type="gramStart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>twenty five</w:t>
      </w:r>
      <w:proofErr w:type="gramEnd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 xml:space="preserve"> patients with </w:t>
      </w:r>
      <w:proofErr w:type="spellStart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>spondyloarthritis</w:t>
      </w:r>
      <w:proofErr w:type="spellEnd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 xml:space="preserve"> were consecutively treated with 150mg of </w:t>
      </w:r>
      <w:proofErr w:type="spellStart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>secukinumab</w:t>
      </w:r>
      <w:proofErr w:type="spellEnd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 xml:space="preserve"> during 12 months. Laboratory and clinical assessments were based on erythrocyte sedimentation rate (ESR), C-reactive protein (</w:t>
      </w:r>
      <w:proofErr w:type="spellStart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>cRP</w:t>
      </w:r>
      <w:proofErr w:type="spellEnd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 xml:space="preserve">), Ankylosing Spondylitis Disease activity score (AS-DAS)-CRP and Bath Ankylosing Spondylitis Disease activity index (BASDAI). Data were recorded at baseline and at a </w:t>
      </w:r>
      <w:proofErr w:type="gramStart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>12 month</w:t>
      </w:r>
      <w:proofErr w:type="gramEnd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 xml:space="preserve"> follow-up visit.</w:t>
      </w:r>
    </w:p>
    <w:p w14:paraId="7A6D0E92" w14:textId="77777777" w:rsidR="00FD38B6" w:rsidRPr="00FD38B6" w:rsidRDefault="00FD38B6" w:rsidP="00FD38B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eastAsia="pt-PT"/>
        </w:rPr>
      </w:pPr>
      <w:r w:rsidRPr="00FD38B6"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eastAsia="pt-PT"/>
        </w:rPr>
        <w:t>Results:</w:t>
      </w:r>
    </w:p>
    <w:p w14:paraId="44D4F777" w14:textId="77777777" w:rsidR="00FD38B6" w:rsidRPr="00FD38B6" w:rsidRDefault="00FD38B6" w:rsidP="00FD38B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</w:pPr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 xml:space="preserve">The study was comprised of 25 patients. The mean age was 43 years old and the majority of patients had received a previous anti-TNF biologic treatment prior to </w:t>
      </w:r>
      <w:proofErr w:type="spellStart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>secukinumab</w:t>
      </w:r>
      <w:proofErr w:type="spellEnd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 xml:space="preserve"> (78%). Both BASDAI and ASDAS-CRP showed a </w:t>
      </w:r>
      <w:proofErr w:type="spellStart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>statiscally</w:t>
      </w:r>
      <w:proofErr w:type="spellEnd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 xml:space="preserve"> significant reduction between the baseline and the </w:t>
      </w:r>
      <w:proofErr w:type="gramStart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>12 month</w:t>
      </w:r>
      <w:proofErr w:type="gramEnd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 xml:space="preserve"> visit (p&lt; 0,0001). During the laboratory assessment ERS and CRP showed a significant decrease (p&lt; 0,0005 and p&lt; 0,0008 respectively). Patients had a mean (SD) Bath Ankylosing Spondylitis Disease Activity index global score of 4.96 (2.5). Among patients who experienced overall improvement in AS symptoms 24% reported overall symptom improvement within 4 weeks after receiving </w:t>
      </w:r>
      <w:proofErr w:type="spellStart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>secukinumab</w:t>
      </w:r>
      <w:proofErr w:type="spellEnd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 xml:space="preserve"> initiation and 50% within 3 months. No radiographic progression from using the Modified Stoke Ankylosing Spondylitis Spinal Score change from baseline &lt; 2 was observed in 81% of patients received </w:t>
      </w:r>
      <w:proofErr w:type="spellStart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>secukinumab</w:t>
      </w:r>
      <w:proofErr w:type="spellEnd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 xml:space="preserve"> after six month of treatment, Median pain VAS dropped from 8 at baseline to 3 IQR (p&lt; 0,001) at 12 months. Functional Assessment of chronic illness therapy fatigue (FACIT) revealed huge improvement Only one patient stopped </w:t>
      </w:r>
      <w:proofErr w:type="spellStart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>secukinumab</w:t>
      </w:r>
      <w:proofErr w:type="spellEnd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 xml:space="preserve"> due to lack of compliance. There were only registered two adverse events (one respiratory infection and one urinary tract infection – Candida infection.</w:t>
      </w:r>
    </w:p>
    <w:p w14:paraId="392676F5" w14:textId="77777777" w:rsidR="00FD38B6" w:rsidRPr="00FD38B6" w:rsidRDefault="00FD38B6" w:rsidP="00FD38B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eastAsia="pt-PT"/>
        </w:rPr>
      </w:pPr>
      <w:r w:rsidRPr="00FD38B6"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eastAsia="pt-PT"/>
        </w:rPr>
        <w:t>Conclusion:</w:t>
      </w:r>
    </w:p>
    <w:p w14:paraId="13AE6FF8" w14:textId="77777777" w:rsidR="00FD38B6" w:rsidRPr="00FD38B6" w:rsidRDefault="00FD38B6" w:rsidP="00FD38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</w:pPr>
      <w:proofErr w:type="spellStart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>Secukinumab</w:t>
      </w:r>
      <w:proofErr w:type="spellEnd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 xml:space="preserve"> has proven remarkable short-term effectiveness, regardless of the biologic treatment line. The safety profile of </w:t>
      </w:r>
      <w:proofErr w:type="spellStart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>secukinumab</w:t>
      </w:r>
      <w:proofErr w:type="spellEnd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 xml:space="preserve"> was favorable and similar to previous studies in the phase III program. Further studies should be request in order to </w:t>
      </w:r>
      <w:proofErr w:type="spellStart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>monitorize</w:t>
      </w:r>
      <w:proofErr w:type="spellEnd"/>
      <w:r w:rsidRPr="00FD38B6">
        <w:rPr>
          <w:rFonts w:ascii="Arial" w:eastAsia="Times New Roman" w:hAnsi="Arial" w:cs="Arial"/>
          <w:color w:val="000000"/>
          <w:sz w:val="18"/>
          <w:szCs w:val="18"/>
          <w:lang w:val="en-US" w:eastAsia="pt-PT"/>
        </w:rPr>
        <w:t xml:space="preserve"> long term efficacy, safety and clinical response</w:t>
      </w:r>
    </w:p>
    <w:p w14:paraId="79BDC21E" w14:textId="176F3C77" w:rsidR="00423F70" w:rsidRPr="004B7C45" w:rsidRDefault="00423F70" w:rsidP="005C3F19">
      <w:pPr>
        <w:jc w:val="both"/>
        <w:rPr>
          <w:rFonts w:ascii="Arial" w:hAnsi="Arial" w:cs="Arial"/>
          <w:sz w:val="20"/>
          <w:szCs w:val="20"/>
          <w:lang w:val="en-US"/>
        </w:rPr>
      </w:pPr>
    </w:p>
    <w:sectPr w:rsidR="00423F70" w:rsidRPr="004B7C45" w:rsidSect="00170AD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F19"/>
    <w:rsid w:val="00170AD1"/>
    <w:rsid w:val="00423F70"/>
    <w:rsid w:val="004B7C45"/>
    <w:rsid w:val="004C5397"/>
    <w:rsid w:val="005C3F19"/>
    <w:rsid w:val="00AA12AA"/>
    <w:rsid w:val="00C00A5F"/>
    <w:rsid w:val="00C869C6"/>
    <w:rsid w:val="00FD3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15BEA"/>
  <w15:chartTrackingRefBased/>
  <w15:docId w15:val="{A530C0A4-165B-4603-976C-FE20842EB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ter"/>
    <w:uiPriority w:val="9"/>
    <w:qFormat/>
    <w:rsid w:val="00FD38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arter">
    <w:name w:val="Título 3 Caráter"/>
    <w:basedOn w:val="Tipodeletrapredefinidodopargrafo"/>
    <w:link w:val="Ttulo3"/>
    <w:uiPriority w:val="9"/>
    <w:rsid w:val="00FD38B6"/>
    <w:rPr>
      <w:rFonts w:ascii="Times New Roman" w:eastAsia="Times New Roman" w:hAnsi="Times New Roman" w:cs="Times New Roman"/>
      <w:b/>
      <w:bCs/>
      <w:sz w:val="27"/>
      <w:szCs w:val="27"/>
      <w:lang w:val="pt-PT" w:eastAsia="pt-PT"/>
    </w:rPr>
  </w:style>
  <w:style w:type="paragraph" w:styleId="NormalWeb">
    <w:name w:val="Normal (Web)"/>
    <w:basedOn w:val="Normal"/>
    <w:uiPriority w:val="99"/>
    <w:semiHidden/>
    <w:unhideWhenUsed/>
    <w:rsid w:val="00FD3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68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49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19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62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1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33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8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78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3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Granda Lopez</dc:creator>
  <cp:keywords/>
  <dc:description/>
  <cp:lastModifiedBy>Carlos Carneiro</cp:lastModifiedBy>
  <cp:revision>2</cp:revision>
  <dcterms:created xsi:type="dcterms:W3CDTF">2019-11-24T21:28:00Z</dcterms:created>
  <dcterms:modified xsi:type="dcterms:W3CDTF">2019-11-24T21:28:00Z</dcterms:modified>
</cp:coreProperties>
</file>