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C67F10" w14:textId="23C2B1EE" w:rsidR="00AF61EB" w:rsidRDefault="00D42EC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 w14:anchorId="4FCF535B">
          <v:roundrect id="_x0000_s1026" alt="" style="position:absolute;margin-left:314.05pt;margin-top:9.45pt;width:108.45pt;height:102pt;z-index:251657728;mso-wrap-style:square;mso-wrap-edited:f;mso-width-percent:0;mso-height-percent:0;mso-width-percent:0;mso-height-percent:0;v-text-anchor:top" arcsize="10923f" strokecolor="#9bbb59" strokeweight="2.5pt">
            <v:shadow color="#868686"/>
            <v:textbox style="mso-next-textbox:#_x0000_s1026">
              <w:txbxContent>
                <w:p w14:paraId="1AF8FC50" w14:textId="7F1EFED2" w:rsidR="00AF61EB" w:rsidRDefault="00EF5065">
                  <w:pPr>
                    <w:rPr>
                      <w:lang w:val="e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6322B2BA" wp14:editId="4E2F06C7">
                        <wp:extent cx="1106906" cy="1095923"/>
                        <wp:effectExtent l="0" t="0" r="0" b="0"/>
                        <wp:docPr id="4" name="0 Imagen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0 Imagen"/>
                                <pic:cNvPicPr/>
                              </pic:nvPicPr>
                              <pic:blipFill rotWithShape="1"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17225" r="50923" b="19897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1117434" cy="110634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5CF442C1" w14:textId="77777777" w:rsidR="00AF61EB" w:rsidRDefault="00AF61EB">
                  <w:pPr>
                    <w:rPr>
                      <w:lang w:val="en-IN"/>
                    </w:rPr>
                  </w:pPr>
                </w:p>
                <w:p w14:paraId="21B1E113" w14:textId="509C5AA7" w:rsidR="00AF61EB" w:rsidRPr="00B03DB8" w:rsidRDefault="00AF61EB" w:rsidP="00EF5065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  <w:r w:rsidR="00EF5065" w:rsidRPr="00EF5065">
        <w:rPr>
          <w:noProof/>
        </w:rPr>
        <w:t xml:space="preserve"> </w:t>
      </w:r>
      <w:r w:rsidR="00EF5065" w:rsidRPr="00EF5065">
        <w:rPr>
          <w:rFonts w:eastAsia="MS PGothic"/>
          <w:b/>
          <w:noProof/>
          <w:color w:val="000000"/>
          <w:sz w:val="28"/>
          <w:szCs w:val="28"/>
          <w:lang w:eastAsia="en-US"/>
        </w:rPr>
        <w:drawing>
          <wp:inline distT="0" distB="0" distL="0" distR="0" wp14:anchorId="44894F5D" wp14:editId="28F919FE">
            <wp:extent cx="1275347" cy="1730184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33" t="5845" b="3735"/>
                    <a:stretch/>
                  </pic:blipFill>
                  <pic:spPr bwMode="auto">
                    <a:xfrm>
                      <a:off x="0" y="0"/>
                      <a:ext cx="1286276" cy="17450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0584BE" w14:textId="77777777"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14:paraId="5AC257A5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6CA940FC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0582FD4F" w14:textId="77777777" w:rsidR="00B53ACC" w:rsidRPr="00B53ACC" w:rsidRDefault="00074C9C" w:rsidP="00B53ACC">
      <w:pPr>
        <w:jc w:val="center"/>
        <w:rPr>
          <w:b/>
          <w:sz w:val="28"/>
          <w:szCs w:val="28"/>
        </w:rPr>
      </w:pPr>
      <w:r w:rsidRPr="00B53ACC">
        <w:rPr>
          <w:rFonts w:eastAsia="MS PGothic"/>
          <w:b/>
          <w:color w:val="000000"/>
          <w:sz w:val="28"/>
          <w:szCs w:val="28"/>
        </w:rPr>
        <w:t xml:space="preserve">Title: </w:t>
      </w:r>
      <w:r w:rsidR="00B53ACC" w:rsidRPr="00B53ACC">
        <w:rPr>
          <w:b/>
          <w:sz w:val="28"/>
          <w:szCs w:val="28"/>
        </w:rPr>
        <w:t>Comparative gene expression profiles in healthy and autoimmune mice</w:t>
      </w:r>
    </w:p>
    <w:p w14:paraId="342F00E7" w14:textId="5C6193C8" w:rsidR="00074C9C" w:rsidRDefault="00B53ACC" w:rsidP="00074C9C">
      <w:pPr>
        <w:rPr>
          <w:rFonts w:eastAsia="MS PGothic"/>
          <w:b/>
          <w:color w:val="000000"/>
          <w:lang w:val="es-ES"/>
        </w:rPr>
      </w:pPr>
      <w:proofErr w:type="spellStart"/>
      <w:r w:rsidRPr="00B53ACC">
        <w:rPr>
          <w:rFonts w:eastAsia="MS PGothic"/>
          <w:b/>
          <w:color w:val="000000"/>
          <w:lang w:val="es-ES"/>
        </w:rPr>
        <w:t>Names</w:t>
      </w:r>
      <w:proofErr w:type="spellEnd"/>
      <w:r w:rsidRPr="00B53ACC">
        <w:rPr>
          <w:rFonts w:eastAsia="MS PGothic"/>
          <w:b/>
          <w:color w:val="000000"/>
          <w:lang w:val="es-ES"/>
        </w:rPr>
        <w:t>: José Moreno</w:t>
      </w:r>
      <w:r w:rsidR="00EF5065">
        <w:rPr>
          <w:rFonts w:eastAsia="MS PGothic"/>
          <w:b/>
          <w:color w:val="000000"/>
          <w:lang w:val="es-ES"/>
        </w:rPr>
        <w:t>,</w:t>
      </w:r>
      <w:r w:rsidR="00EF5065" w:rsidRPr="00EF5065">
        <w:rPr>
          <w:rFonts w:eastAsia="MS PGothic"/>
          <w:b/>
          <w:color w:val="000000"/>
          <w:lang w:val="es-ES"/>
        </w:rPr>
        <w:t xml:space="preserve"> </w:t>
      </w:r>
      <w:r w:rsidR="00EF5065">
        <w:rPr>
          <w:rFonts w:eastAsia="MS PGothic"/>
          <w:b/>
          <w:color w:val="000000"/>
          <w:lang w:val="es-ES"/>
        </w:rPr>
        <w:t>Karina Chávez-Rueda</w:t>
      </w:r>
      <w:r w:rsidRPr="00B53ACC">
        <w:rPr>
          <w:rFonts w:eastAsia="MS PGothic"/>
          <w:b/>
          <w:color w:val="000000"/>
          <w:lang w:val="es-ES"/>
        </w:rPr>
        <w:t>, Ricardo Godínez-Aguilar</w:t>
      </w:r>
      <w:r w:rsidR="00EF5065">
        <w:rPr>
          <w:rFonts w:eastAsia="MS PGothic"/>
          <w:b/>
          <w:color w:val="000000"/>
          <w:lang w:val="es-ES"/>
        </w:rPr>
        <w:t>. Hospital Juárez de México</w:t>
      </w:r>
      <w:r>
        <w:rPr>
          <w:rFonts w:eastAsia="MS PGothic"/>
          <w:b/>
          <w:color w:val="000000"/>
          <w:lang w:val="es-ES"/>
        </w:rPr>
        <w:t xml:space="preserve"> </w:t>
      </w:r>
    </w:p>
    <w:p w14:paraId="6CCED257" w14:textId="77777777" w:rsidR="00EF5065" w:rsidRPr="00B53ACC" w:rsidRDefault="00EF5065" w:rsidP="00074C9C">
      <w:pPr>
        <w:rPr>
          <w:rFonts w:eastAsia="MS PGothic"/>
          <w:b/>
          <w:color w:val="000000"/>
          <w:lang w:val="es-ES"/>
        </w:rPr>
      </w:pPr>
    </w:p>
    <w:p w14:paraId="03547C24" w14:textId="4BD2F896" w:rsidR="00B53ACC" w:rsidRPr="00EF5065" w:rsidRDefault="00B53ACC" w:rsidP="00B53ACC">
      <w:pPr>
        <w:jc w:val="both"/>
      </w:pPr>
      <w:r w:rsidRPr="00EF5065">
        <w:rPr>
          <w:b/>
        </w:rPr>
        <w:t xml:space="preserve">Introduction. </w:t>
      </w:r>
      <w:r w:rsidRPr="00EF5065">
        <w:t xml:space="preserve">Genome-wide association studies have identified many loci associated to autoimmune diseases (AD). As the roles of particular genes are unknown, we performed global analysis of gene expression by immunocompetent cells. </w:t>
      </w:r>
    </w:p>
    <w:p w14:paraId="5B2B2A19" w14:textId="77777777" w:rsidR="00B53ACC" w:rsidRPr="00EF5065" w:rsidRDefault="00B53ACC" w:rsidP="00B53ACC">
      <w:pPr>
        <w:jc w:val="both"/>
        <w:rPr>
          <w:b/>
        </w:rPr>
      </w:pPr>
      <w:r w:rsidRPr="00EF5065">
        <w:rPr>
          <w:b/>
        </w:rPr>
        <w:t xml:space="preserve">Materials and methods. </w:t>
      </w:r>
      <w:r w:rsidRPr="00EF5065">
        <w:t xml:space="preserve">Whole genome mRNA expression profiles of healthy (C57BL/6-J and </w:t>
      </w:r>
      <w:proofErr w:type="spellStart"/>
      <w:r w:rsidRPr="00EF5065">
        <w:t>Balb</w:t>
      </w:r>
      <w:proofErr w:type="spellEnd"/>
      <w:r w:rsidRPr="00EF5065">
        <w:t>/c-J), and autoimmune (</w:t>
      </w:r>
      <w:proofErr w:type="spellStart"/>
      <w:r w:rsidRPr="00EF5065">
        <w:t>MRL</w:t>
      </w:r>
      <w:r w:rsidRPr="00EF5065">
        <w:rPr>
          <w:i/>
          <w:vertAlign w:val="superscript"/>
        </w:rPr>
        <w:t>lpr</w:t>
      </w:r>
      <w:proofErr w:type="spellEnd"/>
      <w:r w:rsidRPr="00EF5065">
        <w:rPr>
          <w:i/>
          <w:vertAlign w:val="superscript"/>
        </w:rPr>
        <w:t>/</w:t>
      </w:r>
      <w:proofErr w:type="spellStart"/>
      <w:r w:rsidRPr="00EF5065">
        <w:rPr>
          <w:i/>
          <w:vertAlign w:val="superscript"/>
        </w:rPr>
        <w:t>lpr</w:t>
      </w:r>
      <w:proofErr w:type="spellEnd"/>
      <w:r w:rsidRPr="00EF5065">
        <w:t xml:space="preserve">) mice were obtained by means of Affymetrix Chip Mouse 430 2. Normalized data were examined by RMA and differentially-expressed genes (DEG) were identified by </w:t>
      </w:r>
      <w:proofErr w:type="spellStart"/>
      <w:r w:rsidRPr="00EF5065">
        <w:t>limma</w:t>
      </w:r>
      <w:proofErr w:type="spellEnd"/>
      <w:r w:rsidRPr="00EF5065">
        <w:t xml:space="preserve"> (FDR</w:t>
      </w:r>
      <w:r w:rsidRPr="00EF5065">
        <w:rPr>
          <w:u w:val="single"/>
        </w:rPr>
        <w:t>&lt;</w:t>
      </w:r>
      <w:r w:rsidRPr="00EF5065">
        <w:t xml:space="preserve">0.001, foldchange </w:t>
      </w:r>
      <w:r w:rsidRPr="00EF5065">
        <w:rPr>
          <w:u w:val="single"/>
        </w:rPr>
        <w:t>&gt;</w:t>
      </w:r>
      <w:r w:rsidRPr="00EF5065">
        <w:t xml:space="preserve">3), and analyzed by David, GSEA or </w:t>
      </w:r>
      <w:proofErr w:type="spellStart"/>
      <w:r w:rsidRPr="00EF5065">
        <w:t>WebGestalt</w:t>
      </w:r>
      <w:proofErr w:type="spellEnd"/>
      <w:r w:rsidRPr="00EF5065">
        <w:t xml:space="preserve"> bioinformatic </w:t>
      </w:r>
      <w:proofErr w:type="spellStart"/>
      <w:r w:rsidRPr="00EF5065">
        <w:t>softwares</w:t>
      </w:r>
      <w:proofErr w:type="spellEnd"/>
      <w:r w:rsidRPr="00EF5065">
        <w:t xml:space="preserve">, with changes defined by Gene Ontology (GO), </w:t>
      </w:r>
      <w:proofErr w:type="spellStart"/>
      <w:r w:rsidRPr="00EF5065">
        <w:t>Reactome</w:t>
      </w:r>
      <w:proofErr w:type="spellEnd"/>
      <w:r w:rsidRPr="00EF5065">
        <w:t xml:space="preserve"> and </w:t>
      </w:r>
      <w:proofErr w:type="spellStart"/>
      <w:r w:rsidRPr="00EF5065">
        <w:t>Kegg</w:t>
      </w:r>
      <w:proofErr w:type="spellEnd"/>
      <w:r w:rsidRPr="00EF5065">
        <w:t xml:space="preserve"> (Bonferroni-corrected).</w:t>
      </w:r>
    </w:p>
    <w:p w14:paraId="21FAE3B1" w14:textId="77777777" w:rsidR="00B53ACC" w:rsidRPr="00EF5065" w:rsidRDefault="00B53ACC" w:rsidP="00B53ACC">
      <w:pPr>
        <w:jc w:val="both"/>
      </w:pPr>
      <w:r w:rsidRPr="00EF5065">
        <w:rPr>
          <w:b/>
        </w:rPr>
        <w:t>Results.</w:t>
      </w:r>
      <w:r w:rsidRPr="00EF5065">
        <w:t xml:space="preserve"> </w:t>
      </w:r>
      <w:proofErr w:type="spellStart"/>
      <w:r w:rsidRPr="00EF5065">
        <w:rPr>
          <w:b/>
        </w:rPr>
        <w:t>WebGestalt</w:t>
      </w:r>
      <w:proofErr w:type="spellEnd"/>
      <w:r w:rsidRPr="00EF5065">
        <w:rPr>
          <w:b/>
        </w:rPr>
        <w:t>: GO</w:t>
      </w:r>
      <w:r w:rsidRPr="00EF5065">
        <w:rPr>
          <w:u w:val="single"/>
        </w:rPr>
        <w:t>&gt;</w:t>
      </w:r>
      <w:r w:rsidRPr="00EF5065">
        <w:t>100 significant processes: 1) immune system process (133 DEG, FDR=0); 3) immune response (91 DEG, FDR=0); 4) inflammatory response (55 DEG, FDR=5.56</w:t>
      </w:r>
      <w:r w:rsidRPr="00EF5065">
        <w:rPr>
          <w:vertAlign w:val="superscript"/>
        </w:rPr>
        <w:t>E-11</w:t>
      </w:r>
      <w:r w:rsidRPr="00EF5065">
        <w:t>); 5) regulation of immune system process (76 DEG, FDR=3.19</w:t>
      </w:r>
      <w:r w:rsidRPr="00EF5065">
        <w:rPr>
          <w:vertAlign w:val="superscript"/>
        </w:rPr>
        <w:t>E-10</w:t>
      </w:r>
      <w:r w:rsidRPr="00EF5065">
        <w:t xml:space="preserve">). </w:t>
      </w:r>
      <w:proofErr w:type="spellStart"/>
      <w:r w:rsidRPr="00EF5065">
        <w:rPr>
          <w:b/>
        </w:rPr>
        <w:t>Reactome</w:t>
      </w:r>
      <w:proofErr w:type="spellEnd"/>
      <w:r w:rsidRPr="00EF5065">
        <w:t xml:space="preserve"> 8 processes: 1) neutrophil degranulation (39 DEG, FDR=1.34</w:t>
      </w:r>
      <w:r w:rsidRPr="00EF5065">
        <w:rPr>
          <w:vertAlign w:val="superscript"/>
        </w:rPr>
        <w:t>E-3</w:t>
      </w:r>
      <w:r w:rsidRPr="00EF5065">
        <w:t>); 2) immune system (82 DEG, FDR=4.72</w:t>
      </w:r>
      <w:r w:rsidRPr="00EF5065">
        <w:rPr>
          <w:vertAlign w:val="superscript"/>
        </w:rPr>
        <w:t>E-2</w:t>
      </w:r>
      <w:r w:rsidRPr="00EF5065">
        <w:t>); 3) innate immune system (62 DEG, FDR=4.72</w:t>
      </w:r>
      <w:r w:rsidRPr="00EF5065">
        <w:rPr>
          <w:vertAlign w:val="superscript"/>
        </w:rPr>
        <w:t>E-3</w:t>
      </w:r>
      <w:r w:rsidRPr="00EF5065">
        <w:t xml:space="preserve">); etc. </w:t>
      </w:r>
      <w:proofErr w:type="spellStart"/>
      <w:r w:rsidRPr="00EF5065">
        <w:rPr>
          <w:b/>
        </w:rPr>
        <w:t>Kegg</w:t>
      </w:r>
      <w:proofErr w:type="spellEnd"/>
      <w:r w:rsidRPr="00EF5065">
        <w:t xml:space="preserve"> 3 pathways: 2) Complement and coagulation cascades (12 DEG, FDR=1.15</w:t>
      </w:r>
      <w:r w:rsidRPr="00EF5065">
        <w:rPr>
          <w:vertAlign w:val="superscript"/>
        </w:rPr>
        <w:t>E-2</w:t>
      </w:r>
      <w:r w:rsidRPr="00EF5065">
        <w:t>), 3) Cytokine-cytokine receptor interaction (21 DEG, FDR=3.05</w:t>
      </w:r>
      <w:r w:rsidRPr="00EF5065">
        <w:rPr>
          <w:vertAlign w:val="superscript"/>
        </w:rPr>
        <w:t>E-2</w:t>
      </w:r>
      <w:r w:rsidRPr="00EF5065">
        <w:t>).</w:t>
      </w:r>
    </w:p>
    <w:p w14:paraId="30FDC948" w14:textId="77777777" w:rsidR="00B53ACC" w:rsidRPr="00EF5065" w:rsidRDefault="00B53ACC" w:rsidP="00B53ACC">
      <w:pPr>
        <w:jc w:val="both"/>
      </w:pPr>
      <w:r w:rsidRPr="00EF5065">
        <w:rPr>
          <w:b/>
        </w:rPr>
        <w:t>GSEA</w:t>
      </w:r>
      <w:r w:rsidRPr="00EF5065">
        <w:t xml:space="preserve">: </w:t>
      </w:r>
      <w:r w:rsidRPr="00EF5065">
        <w:rPr>
          <w:b/>
        </w:rPr>
        <w:t>GO</w:t>
      </w:r>
      <w:r w:rsidRPr="00EF5065">
        <w:t xml:space="preserve">=295 processes, mostly non-immune; </w:t>
      </w:r>
      <w:proofErr w:type="spellStart"/>
      <w:r w:rsidRPr="00EF5065">
        <w:rPr>
          <w:b/>
        </w:rPr>
        <w:t>Reactome</w:t>
      </w:r>
      <w:proofErr w:type="spellEnd"/>
      <w:r w:rsidRPr="00EF5065">
        <w:t xml:space="preserve">=37 processes, </w:t>
      </w:r>
      <w:proofErr w:type="spellStart"/>
      <w:r w:rsidRPr="00EF5065">
        <w:rPr>
          <w:b/>
        </w:rPr>
        <w:t>Kegg</w:t>
      </w:r>
      <w:proofErr w:type="spellEnd"/>
      <w:r w:rsidRPr="00EF5065">
        <w:t xml:space="preserve">=25 pathways (cytokine-cytokine receptor interaction, autoimmune thyroid disease, T cell receptor signaling pathway, </w:t>
      </w:r>
      <w:proofErr w:type="spellStart"/>
      <w:r w:rsidRPr="00EF5065">
        <w:t>etc</w:t>
      </w:r>
      <w:proofErr w:type="spellEnd"/>
      <w:r w:rsidRPr="00EF5065">
        <w:t xml:space="preserve">). Augmented DEG common to all grouping methods were: IFNG, TNFRSF9, C3AR1, C5AR1, CFI, plus chemokines, MAP kinases, etc. </w:t>
      </w:r>
    </w:p>
    <w:p w14:paraId="131F89AE" w14:textId="77777777" w:rsidR="00B53ACC" w:rsidRPr="00EF5065" w:rsidRDefault="00B53ACC" w:rsidP="00B53ACC">
      <w:pPr>
        <w:jc w:val="both"/>
      </w:pPr>
      <w:r w:rsidRPr="00EF5065">
        <w:t xml:space="preserve">Finally, </w:t>
      </w:r>
      <w:r w:rsidRPr="00EF5065">
        <w:rPr>
          <w:b/>
        </w:rPr>
        <w:t>David</w:t>
      </w:r>
      <w:r w:rsidRPr="00EF5065">
        <w:t xml:space="preserve">: 41 </w:t>
      </w:r>
      <w:r w:rsidRPr="00EF5065">
        <w:rPr>
          <w:b/>
        </w:rPr>
        <w:t xml:space="preserve">GO </w:t>
      </w:r>
      <w:r w:rsidRPr="00EF5065">
        <w:t xml:space="preserve">processes (defense response, immune response, etc.), one by </w:t>
      </w:r>
      <w:proofErr w:type="spellStart"/>
      <w:r w:rsidRPr="00EF5065">
        <w:rPr>
          <w:b/>
        </w:rPr>
        <w:t>Reactome</w:t>
      </w:r>
      <w:proofErr w:type="spellEnd"/>
      <w:r w:rsidRPr="00EF5065">
        <w:t xml:space="preserve"> and none by </w:t>
      </w:r>
      <w:proofErr w:type="spellStart"/>
      <w:r w:rsidRPr="00EF5065">
        <w:rPr>
          <w:b/>
        </w:rPr>
        <w:t>Kegg</w:t>
      </w:r>
      <w:proofErr w:type="spellEnd"/>
      <w:r w:rsidRPr="00EF5065">
        <w:t xml:space="preserve"> </w:t>
      </w:r>
    </w:p>
    <w:p w14:paraId="3BF1865E" w14:textId="77777777" w:rsidR="00B53ACC" w:rsidRPr="00EF5065" w:rsidRDefault="00B53ACC" w:rsidP="00B53ACC">
      <w:pPr>
        <w:jc w:val="both"/>
        <w:rPr>
          <w:b/>
        </w:rPr>
      </w:pPr>
      <w:r w:rsidRPr="00EF5065">
        <w:rPr>
          <w:b/>
        </w:rPr>
        <w:t xml:space="preserve">Conclusions. </w:t>
      </w:r>
      <w:r w:rsidRPr="00EF5065">
        <w:t>We confirm some already known pathways and identify new, potentially interesting, processes related to autoimmunity.</w:t>
      </w:r>
    </w:p>
    <w:p w14:paraId="3BBC99CB" w14:textId="77777777" w:rsidR="00B53ACC" w:rsidRPr="00EF5065" w:rsidRDefault="00B53ACC" w:rsidP="00B53ACC">
      <w:pPr>
        <w:widowControl w:val="0"/>
        <w:autoSpaceDE w:val="0"/>
        <w:autoSpaceDN w:val="0"/>
        <w:adjustRightInd w:val="0"/>
        <w:ind w:left="640" w:hanging="640"/>
        <w:jc w:val="both"/>
        <w:rPr>
          <w:b/>
        </w:rPr>
      </w:pPr>
    </w:p>
    <w:p w14:paraId="479656AE" w14:textId="24E5656F" w:rsidR="00363668" w:rsidRDefault="00AF61EB" w:rsidP="00AF61EB">
      <w:pPr>
        <w:ind w:firstLine="720"/>
        <w:jc w:val="both"/>
        <w:rPr>
          <w:color w:val="000000"/>
        </w:rPr>
      </w:pPr>
      <w:r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 words)</w:t>
      </w:r>
    </w:p>
    <w:p w14:paraId="6D882308" w14:textId="77777777" w:rsidR="00B8710A" w:rsidRDefault="00B8710A" w:rsidP="00363668">
      <w:pPr>
        <w:jc w:val="both"/>
        <w:rPr>
          <w:color w:val="000000"/>
        </w:rPr>
      </w:pPr>
    </w:p>
    <w:p w14:paraId="34322195" w14:textId="77777777" w:rsidR="004F1A34" w:rsidRDefault="004F1A34" w:rsidP="00363668">
      <w:pPr>
        <w:jc w:val="both"/>
        <w:rPr>
          <w:b/>
        </w:rPr>
      </w:pPr>
    </w:p>
    <w:p w14:paraId="1AB4D13C" w14:textId="60A4FAB0" w:rsidR="00B8710A" w:rsidRDefault="00B8710A" w:rsidP="00363668">
      <w:pPr>
        <w:jc w:val="both"/>
        <w:rPr>
          <w:b/>
        </w:rPr>
      </w:pPr>
      <w:bookmarkStart w:id="0" w:name="_GoBack"/>
      <w:bookmarkEnd w:id="0"/>
      <w:r w:rsidRPr="00732C88">
        <w:rPr>
          <w:b/>
        </w:rPr>
        <w:lastRenderedPageBreak/>
        <w:t>Biography</w:t>
      </w:r>
    </w:p>
    <w:p w14:paraId="25CBB0DB" w14:textId="77777777" w:rsidR="00CE6677" w:rsidRDefault="00CE6677" w:rsidP="00363668">
      <w:pPr>
        <w:jc w:val="both"/>
        <w:rPr>
          <w:b/>
        </w:rPr>
      </w:pPr>
    </w:p>
    <w:p w14:paraId="124C9508" w14:textId="595EFA6E" w:rsidR="007D233A" w:rsidRPr="00B03DB8" w:rsidRDefault="00EF5065" w:rsidP="007D233A">
      <w:pPr>
        <w:jc w:val="both"/>
      </w:pPr>
      <w:r>
        <w:t>José Moreno is an MD</w:t>
      </w:r>
      <w:r w:rsidR="00494A67">
        <w:t xml:space="preserve"> from the National University of Mexico</w:t>
      </w:r>
      <w:r>
        <w:t>, with clinical training in rheumatology and PhD in immunology with major focus</w:t>
      </w:r>
      <w:r w:rsidR="00D841B1">
        <w:t xml:space="preserve"> </w:t>
      </w:r>
      <w:r>
        <w:t xml:space="preserve">on immunobiology of antigen processing and autoimmunity. </w:t>
      </w:r>
      <w:r w:rsidR="00494A67">
        <w:t>He did two postdoctoral trainings in Dallas (Southwestern Medical College) and Heidelberg (</w:t>
      </w:r>
      <w:proofErr w:type="spellStart"/>
      <w:r w:rsidR="00494A67" w:rsidRPr="00494A67">
        <w:rPr>
          <w:i/>
        </w:rPr>
        <w:t>Deutsches</w:t>
      </w:r>
      <w:proofErr w:type="spellEnd"/>
      <w:r w:rsidR="00494A67" w:rsidRPr="00494A67">
        <w:rPr>
          <w:i/>
        </w:rPr>
        <w:t xml:space="preserve"> </w:t>
      </w:r>
      <w:proofErr w:type="spellStart"/>
      <w:r w:rsidR="00494A67" w:rsidRPr="00494A67">
        <w:rPr>
          <w:i/>
        </w:rPr>
        <w:t>Krebrfosrchungszentrum</w:t>
      </w:r>
      <w:proofErr w:type="spellEnd"/>
      <w:r w:rsidR="00494A67">
        <w:t xml:space="preserve">). </w:t>
      </w:r>
      <w:r>
        <w:t>He has published over 50 papers in international peer-reviewed journals and his current position is Director of research of Hospital Juárez de México.</w:t>
      </w:r>
      <w:r w:rsidR="00494A67">
        <w:t xml:space="preserve"> He is a member of the National Academy of Medicine (Mexico).</w:t>
      </w:r>
      <w:r w:rsidR="00B03DB8">
        <w:t xml:space="preserve"> </w:t>
      </w:r>
      <w:r w:rsidR="007D233A" w:rsidRPr="00B03DB8">
        <w:rPr>
          <w:b/>
          <w:color w:val="0000FF"/>
        </w:rPr>
        <w:t>(Up to 100 words)</w:t>
      </w:r>
    </w:p>
    <w:p w14:paraId="1EFE14B9" w14:textId="77777777" w:rsidR="007D233A" w:rsidRDefault="007D233A" w:rsidP="007D233A"/>
    <w:p w14:paraId="146DB542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1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94A67"/>
    <w:rsid w:val="004E62DD"/>
    <w:rsid w:val="004F0441"/>
    <w:rsid w:val="004F1A34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53ACC"/>
    <w:rsid w:val="00B8710A"/>
    <w:rsid w:val="00BA2068"/>
    <w:rsid w:val="00C07C5B"/>
    <w:rsid w:val="00C578FF"/>
    <w:rsid w:val="00C828BF"/>
    <w:rsid w:val="00CE6677"/>
    <w:rsid w:val="00D42EC0"/>
    <w:rsid w:val="00D605F8"/>
    <w:rsid w:val="00D734FE"/>
    <w:rsid w:val="00D841B1"/>
    <w:rsid w:val="00DC433A"/>
    <w:rsid w:val="00E63452"/>
    <w:rsid w:val="00ED2B89"/>
    <w:rsid w:val="00EF5065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0E109FF"/>
  <w15:docId w15:val="{3B8E64D5-90D5-A843-9BA5-49988F14D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José Moreno</cp:lastModifiedBy>
  <cp:revision>5</cp:revision>
  <dcterms:created xsi:type="dcterms:W3CDTF">2014-02-12T16:25:00Z</dcterms:created>
  <dcterms:modified xsi:type="dcterms:W3CDTF">2018-08-20T21:54:00Z</dcterms:modified>
</cp:coreProperties>
</file>