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i w:val="1"/>
          <w:b w:val="1"/>
          <w:position w:val="0"/>
          <w:sz w:val="20"/>
          <w:szCs w:val="20"/>
          <w:u w:val="single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single"/>
          <w:rFonts w:ascii="NanumGothic" w:eastAsia="NanumGothic" w:hAnsi="NanumGothic" w:hint="default"/>
        </w:rPr>
        <w:t xml:space="preserve">Preliminary assessment of a newly designated predictive index for relapse in a treated cohort of IgG4 -RD egyptian </w:t>
      </w:r>
      <w:r>
        <w:rPr>
          <w:i w:val="1"/>
          <w:b w:val="1"/>
          <w:position w:val="0"/>
          <w:sz w:val="20"/>
          <w:szCs w:val="20"/>
          <w:u w:val="single"/>
          <w:rFonts w:ascii="NanumGothic" w:eastAsia="NanumGothic" w:hAnsi="NanumGothic" w:hint="default"/>
        </w:rPr>
        <w:t>patients.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Hany El-Saadany (MD);Kobri El-Kobba medical complex,Cairo,Egypt.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 </w:t>
      </w: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Background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: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IgG4 related disease (IgG4-RD) is systemic fibroinflammatory condition characterized by remissions and relapses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(1,2) .Glucocorticoids and rituximab are used for inducing remission (3,4). The duration of remission variable and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the current predictors of relapse are insufficient and depends mainly on laboratory measures ignoring the clinical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picture of the patient 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Obectives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: 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At our center,we adopt 6 measures in a newly designated index to predict any relapse of the disease after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treatment of IgG4-patient. The Objective of this prospective study is a preliminary assessment of this index in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predicting the disease relapse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Methods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: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 In a prospective cohort study,during the period of june 2015 till.june 2017,25 egyptian patients fullfiling the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clinicopathological criteria for diagnosis of IgG4-RD in Kobri El-Kobba medical military complex,are included in the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study. Of them , 21 patients are treated by glucocorticoids and 4 by rituximab 2 doses of 1gm with 15 days in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between .At our center,we adopt using 6 measures in a newly designated prediction index for relapse extending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the benefits of the current predictors of relapse which are mainly laboratory. The new index,which is named for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simplicity( Saadany index)after the surname of the author, consists of a very trusted measure based on a clinical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bases which is IgG4 responder index (IgG4- RI) and a questionnaire of the patient assessing the well being and the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daily activity in addition to the laboratory predictor parameters of elevated IgE titer,circulating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eosinophils,circulating plasmablasts by flowcytometry gated to CD138,CD38,CD20 (5),IgG4 titer. Estimation of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the score is as follows,4 points to IgG4-RI, and 1 point to any other elevated element of the other parameters than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the baseline before treatment to make the sum at its maximum 9 points. Measurements is done after 1 month of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the end of glucocorticoid treatment and 6 months of the end of rituximab treatment respectively. And then once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quarterly for the rest of 2 years 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Results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: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17 patients of the 21 (80.9%)treated with glucocorticoids that had a score less than 3/9 didn’t relapse. 4 patients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(19%) who had a score more than 3/9 developed a relapse. 2 of them (50%) which had a score 6,7 respectively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developed multisystem relapse. 4 patients of 25 included in the study are treated with rituximab ,3 of them which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had a score less than 3/9 didn’t relapse and the other (25%) who had a score 5/9 relapsed.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Conclusion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: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Up to our experience at our center,the use of this simple,easy applicable,mixed clinical and investigative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measurement index , predicts well the possibility of relapse after treatment of a cohort of IgG4-RD patients either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by glucocorticoids or rituximab and the higher scores are associated with a multisystem relapse . Further research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propably a large multicenter prospective study is recommended for more accurate evaluation.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Key wards : IgG4-RD,IgG4-RI,IgE titer,eosinophils , circulating plasmablasts, relapse,remission, H.A.El-Saadany.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Referrences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: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1-Kamisawa T et al.IgG4-RD.Lancet ,2014;385:1460-71.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2-Stone JH et al .IgG4-RD.NEngl J Med 2012 ; 366:539-51.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3-khsroshahi A et al.Rituximab for the treatment of IgG4-RD. Lessons from the consequative patients. Medicine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>2012;91:57-66.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4-Hart PA et al: Treatment of relapsing autoimmune pancreatitis with immunomodulators and rituximab. The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Mayo clinic experience .Gut 2013 ;62:1607-15.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5- zachary S et al ;Predictors of disesse relapse in IgG4-RD following rituximab .Rheumatology,2016:1000-1008.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6-H A El-Saadany.Case series Association between elevated circulating plasma blasts and their gated flocytometric 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picture in a cohort of diversity of clinical presentations of IgG4-RD cases .Je clin.cell.immunol.vol.8, issue 3,2017.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>Acknowledgment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:To my team.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i w:val="1"/>
          <w:b w:val="1"/>
          <w:position w:val="0"/>
          <w:sz w:val="20"/>
          <w:szCs w:val="20"/>
          <w:u w:val="thick"/>
          <w:rFonts w:ascii="NanumGothic" w:eastAsia="NanumGothic" w:hAnsi="NanumGothic" w:hint="default"/>
        </w:rPr>
        <w:t xml:space="preserve">Conflict of interrist</w:t>
      </w:r>
      <w:r>
        <w:rPr>
          <w:position w:val="0"/>
          <w:sz w:val="20"/>
          <w:szCs w:val="20"/>
          <w:rFonts w:ascii="NanumGothic" w:eastAsia="NanumGothic" w:hAnsi="NanumGothic" w:hint="default"/>
        </w:rPr>
        <w:t xml:space="preserve">: No conflict</w:t>
      </w: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right="0" w:firstLine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sectPr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  <w:pgSz w:w="11906" w:h="16838"/>
      <w:pgMar w:top="720" w:left="720" w:bottom="720" w:right="72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 w:val="0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autoSpaceDE w:val="1"/>
      <w:autoSpaceDN w:val="1"/>
      <w:jc w:val="both"/>
      <w:widowControl/>
      <w:wordWrap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579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Hany El-saadany</dc:creator>
  <cp:lastModifiedBy>Hany El-saadany</cp:lastModifiedBy>
</cp:coreProperties>
</file>