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cs="Times New Roman"/>
          <w:b/>
          <w:sz w:val="24"/>
          <w:szCs w:val="24"/>
          <w:shd w:val="clear" w:color="auto" w:fill="F9FBFC"/>
        </w:rPr>
      </w:pPr>
      <w:r>
        <w:rPr>
          <w:rFonts w:hint="eastAsia" w:ascii="Times New Roman" w:hAnsi="Times New Roman" w:cs="Times New Roman"/>
          <w:b/>
          <w:sz w:val="24"/>
          <w:szCs w:val="24"/>
          <w:shd w:val="clear" w:color="auto" w:fill="F9FBFC"/>
        </w:rPr>
        <w:t>C</w:t>
      </w:r>
      <w:r>
        <w:rPr>
          <w:rFonts w:ascii="Times New Roman" w:hAnsi="Times New Roman" w:cs="Times New Roman"/>
          <w:b/>
          <w:sz w:val="24"/>
          <w:szCs w:val="24"/>
          <w:shd w:val="clear" w:color="auto" w:fill="F9FBFC"/>
        </w:rPr>
        <w:t xml:space="preserve">hallenge to the </w:t>
      </w:r>
      <w:r>
        <w:rPr>
          <w:rFonts w:hint="eastAsia" w:ascii="Times New Roman" w:hAnsi="Times New Roman" w:cs="Times New Roman"/>
          <w:b/>
          <w:sz w:val="24"/>
          <w:szCs w:val="24"/>
          <w:shd w:val="clear" w:color="auto" w:fill="F9FBFC"/>
        </w:rPr>
        <w:t>B</w:t>
      </w:r>
      <w:r>
        <w:rPr>
          <w:rFonts w:ascii="Times New Roman" w:hAnsi="Times New Roman" w:cs="Times New Roman"/>
          <w:b/>
          <w:sz w:val="24"/>
          <w:szCs w:val="24"/>
          <w:shd w:val="clear" w:color="auto" w:fill="F9FBFC"/>
        </w:rPr>
        <w:t xml:space="preserve">lack </w:t>
      </w:r>
      <w:r>
        <w:rPr>
          <w:rFonts w:hint="eastAsia" w:ascii="Times New Roman" w:hAnsi="Times New Roman" w:cs="Times New Roman"/>
          <w:b/>
          <w:sz w:val="24"/>
          <w:szCs w:val="24"/>
          <w:shd w:val="clear" w:color="auto" w:fill="F9FBFC"/>
        </w:rPr>
        <w:t>H</w:t>
      </w:r>
      <w:r>
        <w:rPr>
          <w:rFonts w:ascii="Times New Roman" w:hAnsi="Times New Roman" w:cs="Times New Roman"/>
          <w:b/>
          <w:sz w:val="24"/>
          <w:szCs w:val="24"/>
          <w:shd w:val="clear" w:color="auto" w:fill="F9FBFC"/>
        </w:rPr>
        <w:t xml:space="preserve">ole </w:t>
      </w:r>
      <w:r>
        <w:rPr>
          <w:rFonts w:hint="eastAsia" w:ascii="Times New Roman" w:hAnsi="Times New Roman" w:cs="Times New Roman"/>
          <w:b/>
          <w:sz w:val="24"/>
          <w:szCs w:val="24"/>
          <w:shd w:val="clear" w:color="auto" w:fill="F9FBFC"/>
        </w:rPr>
        <w:t>M</w:t>
      </w:r>
      <w:r>
        <w:rPr>
          <w:rFonts w:ascii="Times New Roman" w:hAnsi="Times New Roman" w:cs="Times New Roman"/>
          <w:b/>
          <w:sz w:val="24"/>
          <w:szCs w:val="24"/>
          <w:shd w:val="clear" w:color="auto" w:fill="F9FBFC"/>
        </w:rPr>
        <w:t>odel</w:t>
      </w:r>
      <w:r>
        <w:rPr>
          <w:rFonts w:hint="eastAsia" w:ascii="Times New Roman" w:hAnsi="Times New Roman" w:cs="Times New Roman"/>
          <w:b/>
          <w:sz w:val="24"/>
          <w:szCs w:val="24"/>
          <w:shd w:val="clear" w:color="auto" w:fill="F9FBFC"/>
        </w:rPr>
        <w:t xml:space="preserve"> of quasars and Active Galactic Nuclei </w:t>
      </w:r>
    </w:p>
    <w:p>
      <w:pPr>
        <w:rPr>
          <w:rFonts w:ascii="Times New Roman" w:hAnsi="Times New Roman" w:cs="Times New Roman"/>
          <w:b/>
          <w:szCs w:val="21"/>
        </w:rPr>
      </w:pPr>
      <w:r>
        <w:rPr>
          <w:rFonts w:hint="eastAsia" w:ascii="Times New Roman" w:hAnsi="Times New Roman" w:cs="Times New Roman"/>
          <w:b/>
          <w:sz w:val="28"/>
          <w:szCs w:val="28"/>
        </w:rPr>
        <w:t xml:space="preserve">   </w:t>
      </w:r>
      <w:r>
        <w:rPr>
          <w:rFonts w:ascii="Times New Roman" w:hAnsi="Times New Roman" w:cs="Times New Roman"/>
          <w:b/>
          <w:szCs w:val="21"/>
        </w:rPr>
        <w:t xml:space="preserve">Qiuhe </w:t>
      </w:r>
      <w:r>
        <w:rPr>
          <w:rFonts w:hint="eastAsia" w:ascii="Times New Roman" w:hAnsi="Times New Roman" w:cs="Times New Roman"/>
          <w:b/>
          <w:szCs w:val="21"/>
        </w:rPr>
        <w:t xml:space="preserve"> </w:t>
      </w:r>
      <w:r>
        <w:rPr>
          <w:rFonts w:ascii="Times New Roman" w:hAnsi="Times New Roman" w:cs="Times New Roman"/>
          <w:b/>
          <w:szCs w:val="21"/>
        </w:rPr>
        <w:t>Peng (qhpeng@nju.edu.cn)</w:t>
      </w:r>
      <w:r>
        <w:rPr>
          <w:rFonts w:hint="eastAsia" w:ascii="Times New Roman" w:hAnsi="Times New Roman" w:cs="Times New Roman"/>
          <w:b/>
          <w:szCs w:val="21"/>
        </w:rPr>
        <w:t xml:space="preserve"> </w:t>
      </w:r>
      <w:r>
        <w:rPr>
          <w:rFonts w:ascii="Times New Roman" w:hAnsi="Times New Roman" w:cs="Times New Roman"/>
          <w:b/>
          <w:szCs w:val="21"/>
        </w:rPr>
        <w:t>(Department of Astronomy, Nanjing University)</w:t>
      </w:r>
      <w:r>
        <w:rPr>
          <w:rFonts w:ascii="Times New Roman" w:hAnsi="Times New Roman" w:cs="Times New Roman"/>
          <w:b/>
          <w:szCs w:val="21"/>
        </w:rPr>
        <w:cr/>
      </w:r>
      <w:r>
        <w:rPr>
          <w:rFonts w:hint="eastAsia" w:ascii="Times New Roman" w:hAnsi="Times New Roman" w:cs="Times New Roman"/>
          <w:b/>
          <w:szCs w:val="21"/>
        </w:rPr>
        <w:t xml:space="preserve"> </w:t>
      </w:r>
      <w:r>
        <w:rPr>
          <w:rFonts w:hint="eastAsia" w:ascii="Times New Roman" w:hAnsi="Times New Roman" w:cs="Times New Roman"/>
          <w:b/>
          <w:sz w:val="24"/>
          <w:szCs w:val="24"/>
        </w:rPr>
        <w:t xml:space="preserve"> </w:t>
      </w:r>
      <w:bookmarkStart w:id="0" w:name="OLE_LINK1"/>
      <w:bookmarkStart w:id="1" w:name="OLE_LINK2"/>
      <w:r>
        <w:rPr>
          <w:rFonts w:hint="eastAsia" w:ascii="Times New Roman" w:hAnsi="Times New Roman" w:cs="Times New Roman"/>
          <w:b/>
          <w:sz w:val="24"/>
          <w:szCs w:val="24"/>
        </w:rPr>
        <w:t>part I:</w:t>
      </w:r>
      <w:r>
        <w:rPr>
          <w:rFonts w:hint="eastAsia" w:ascii="Times New Roman" w:hAnsi="Times New Roman" w:cs="Times New Roman"/>
          <w:b/>
          <w:szCs w:val="21"/>
        </w:rPr>
        <w:t xml:space="preserve"> </w:t>
      </w:r>
      <w:bookmarkEnd w:id="0"/>
      <w:bookmarkEnd w:id="1"/>
      <w:r>
        <w:rPr>
          <w:rFonts w:hint="eastAsia" w:ascii="Times New Roman" w:hAnsi="Times New Roman" w:cs="Times New Roman"/>
          <w:b/>
          <w:szCs w:val="21"/>
        </w:rPr>
        <w:t>On our Galactic Center</w:t>
      </w:r>
    </w:p>
    <w:p>
      <w:pPr>
        <w:rPr>
          <w:rFonts w:ascii="Times New Roman" w:hAnsi="Times New Roman" w:cs="Times New Roman"/>
          <w:szCs w:val="21"/>
          <w:shd w:val="clear" w:color="auto" w:fill="F9FBFC"/>
        </w:rPr>
      </w:pPr>
      <w:r>
        <w:rPr>
          <w:rFonts w:ascii="Times New Roman" w:hAnsi="Times New Roman" w:cs="Times New Roman"/>
          <w:szCs w:val="21"/>
          <w:shd w:val="clear" w:color="auto" w:fill="F9FBFC"/>
        </w:rPr>
        <w:t xml:space="preserve">An unusually strong radial magnetic field </w:t>
      </w:r>
      <w:r>
        <w:rPr>
          <w:rFonts w:hint="eastAsia" w:ascii="Times New Roman" w:hAnsi="Times New Roman" w:cs="Times New Roman"/>
          <w:szCs w:val="21"/>
          <w:shd w:val="clear" w:color="auto" w:fill="F9FBFC"/>
        </w:rPr>
        <w:t>has been</w:t>
      </w:r>
      <w:r>
        <w:rPr>
          <w:rFonts w:ascii="Times New Roman" w:hAnsi="Times New Roman" w:cs="Times New Roman"/>
          <w:szCs w:val="21"/>
          <w:shd w:val="clear" w:color="auto" w:fill="F9FBFC"/>
        </w:rPr>
        <w:t xml:space="preserve"> found near </w:t>
      </w:r>
      <w:r>
        <w:rPr>
          <w:rFonts w:hint="eastAsia" w:ascii="Times New Roman" w:hAnsi="Times New Roman" w:cs="Times New Roman"/>
          <w:szCs w:val="21"/>
          <w:shd w:val="clear" w:color="auto" w:fill="F9FBFC"/>
        </w:rPr>
        <w:t>our</w:t>
      </w:r>
      <w:r>
        <w:rPr>
          <w:rFonts w:ascii="Times New Roman" w:hAnsi="Times New Roman" w:cs="Times New Roman"/>
          <w:szCs w:val="21"/>
          <w:shd w:val="clear" w:color="auto" w:fill="F9FBFC"/>
        </w:rPr>
        <w:t xml:space="preserve"> </w:t>
      </w:r>
      <w:r>
        <w:rPr>
          <w:rFonts w:hint="eastAsia" w:ascii="Times New Roman" w:hAnsi="Times New Roman" w:cs="Times New Roman"/>
          <w:szCs w:val="21"/>
          <w:shd w:val="clear" w:color="auto" w:fill="F9FBFC"/>
        </w:rPr>
        <w:t>G</w:t>
      </w:r>
      <w:r>
        <w:rPr>
          <w:rFonts w:ascii="Times New Roman" w:hAnsi="Times New Roman" w:cs="Times New Roman"/>
          <w:szCs w:val="21"/>
          <w:shd w:val="clear" w:color="auto" w:fill="F9FBFC"/>
        </w:rPr>
        <w:t xml:space="preserve">alactic </w:t>
      </w:r>
      <w:r>
        <w:rPr>
          <w:rFonts w:hint="eastAsia" w:ascii="Times New Roman" w:hAnsi="Times New Roman" w:cs="Times New Roman"/>
          <w:szCs w:val="21"/>
          <w:shd w:val="clear" w:color="auto" w:fill="F9FBFC"/>
        </w:rPr>
        <w:t>C</w:t>
      </w:r>
      <w:r>
        <w:rPr>
          <w:rFonts w:ascii="Times New Roman" w:hAnsi="Times New Roman" w:cs="Times New Roman"/>
          <w:szCs w:val="21"/>
          <w:shd w:val="clear" w:color="auto" w:fill="F9FBFC"/>
        </w:rPr>
        <w:t>enter</w:t>
      </w:r>
      <w:r>
        <w:rPr>
          <w:rFonts w:hint="eastAsia" w:ascii="Times New Roman" w:hAnsi="Times New Roman" w:cs="Times New Roman"/>
          <w:szCs w:val="21"/>
          <w:shd w:val="clear" w:color="auto" w:fill="F9FBFC"/>
        </w:rPr>
        <w:t xml:space="preserve"> (</w:t>
      </w:r>
      <w:r>
        <w:rPr>
          <w:rFonts w:ascii="Times New Roman" w:hAnsi="Times New Roman"/>
          <w:szCs w:val="21"/>
        </w:rPr>
        <w:t>Eatough  et al.</w:t>
      </w:r>
      <w:r>
        <w:rPr>
          <w:rFonts w:hint="eastAsia" w:ascii="Times New Roman" w:hAnsi="Times New Roman"/>
          <w:szCs w:val="21"/>
        </w:rPr>
        <w:t xml:space="preserve">, </w:t>
      </w:r>
      <w:r>
        <w:rPr>
          <w:rFonts w:hint="eastAsia" w:ascii="Times New Roman" w:hAnsi="Times New Roman" w:cs="Times New Roman"/>
          <w:szCs w:val="21"/>
          <w:shd w:val="clear" w:color="auto" w:fill="F9FBFC"/>
        </w:rPr>
        <w:t>2013) Its important implication is that t</w:t>
      </w:r>
      <w:r>
        <w:rPr>
          <w:rFonts w:ascii="Times New Roman" w:hAnsi="Times New Roman" w:cs="Times New Roman"/>
          <w:szCs w:val="21"/>
          <w:shd w:val="clear" w:color="auto" w:fill="F9FBFC"/>
        </w:rPr>
        <w:t>he observed radiation from the GC cannot be emitted by the gas of the accretion disk</w:t>
      </w:r>
      <w:r>
        <w:rPr>
          <w:rFonts w:hint="eastAsia" w:ascii="Times New Roman" w:hAnsi="Times New Roman" w:cs="Times New Roman"/>
          <w:szCs w:val="21"/>
          <w:shd w:val="clear" w:color="auto" w:fill="F9FBFC"/>
        </w:rPr>
        <w:t xml:space="preserve"> due to</w:t>
      </w:r>
      <w:r>
        <w:rPr>
          <w:rFonts w:hint="eastAsia" w:ascii="Times New Roman" w:hAnsi="Times New Roman" w:cs="Times New Roman"/>
          <w:color w:val="5F6266"/>
          <w:szCs w:val="21"/>
          <w:shd w:val="clear" w:color="auto" w:fill="F9FBFC"/>
        </w:rPr>
        <w:t xml:space="preserve"> </w:t>
      </w:r>
      <w:r>
        <w:rPr>
          <w:rFonts w:ascii="Times New Roman" w:hAnsi="Times New Roman" w:cs="Times New Roman"/>
          <w:szCs w:val="21"/>
        </w:rPr>
        <w:t xml:space="preserve">accretion plasma fluid </w:t>
      </w:r>
      <w:r>
        <w:rPr>
          <w:rFonts w:hint="eastAsia" w:ascii="Times New Roman" w:hAnsi="Times New Roman" w:cs="Times New Roman"/>
          <w:szCs w:val="21"/>
        </w:rPr>
        <w:t>being</w:t>
      </w:r>
      <w:r>
        <w:rPr>
          <w:rFonts w:ascii="Times New Roman" w:hAnsi="Times New Roman" w:cs="Times New Roman"/>
          <w:szCs w:val="21"/>
        </w:rPr>
        <w:t xml:space="preserve"> hard to  transfer  cross the magnetic field line </w:t>
      </w:r>
      <w:r>
        <w:rPr>
          <w:rFonts w:hint="eastAsia" w:ascii="Times New Roman" w:hAnsi="Times New Roman" w:cs="Times New Roman"/>
          <w:szCs w:val="21"/>
        </w:rPr>
        <w:t>by</w:t>
      </w:r>
      <w:r>
        <w:rPr>
          <w:rFonts w:ascii="Times New Roman" w:hAnsi="Times New Roman" w:cs="Times New Roman"/>
          <w:szCs w:val="21"/>
        </w:rPr>
        <w:t xml:space="preserve"> the Lorentz force. This is </w:t>
      </w:r>
      <w:r>
        <w:rPr>
          <w:rFonts w:hint="eastAsia" w:ascii="Times New Roman" w:hAnsi="Times New Roman" w:cs="Times New Roman"/>
          <w:szCs w:val="21"/>
        </w:rPr>
        <w:t xml:space="preserve">the first </w:t>
      </w:r>
      <w:r>
        <w:rPr>
          <w:rFonts w:ascii="Times New Roman" w:hAnsi="Times New Roman" w:cs="Times New Roman"/>
          <w:szCs w:val="21"/>
        </w:rPr>
        <w:t>dilemma of the standard accretion disk model of black hole at the GC</w:t>
      </w:r>
      <w:r>
        <w:rPr>
          <w:rFonts w:hint="eastAsia" w:ascii="Times New Roman" w:hAnsi="Times New Roman" w:cs="Times New Roman"/>
          <w:szCs w:val="21"/>
        </w:rPr>
        <w:t xml:space="preserve"> (Peng et al. 2016). </w:t>
      </w:r>
    </w:p>
    <w:p>
      <w:pPr>
        <w:rPr>
          <w:rFonts w:ascii="Times New Roman" w:hAnsi="Times New Roman" w:cs="Times New Roman"/>
          <w:szCs w:val="21"/>
        </w:rPr>
      </w:pPr>
      <w:r>
        <w:rPr>
          <w:rFonts w:hint="eastAsia" w:ascii="Times New Roman" w:hAnsi="Times New Roman" w:cs="Times New Roman"/>
          <w:szCs w:val="21"/>
        </w:rPr>
        <w:t>The second dilemma is that the magnetic field with a lower limit of 8mG near the GC is  hardly produced by ɑ-turbulence dynamo mechanism (Peng et al. 2016).</w:t>
      </w:r>
    </w:p>
    <w:p>
      <w:pPr>
        <w:rPr>
          <w:rFonts w:ascii="Times New Roman" w:hAnsi="Times New Roman" w:cs="Times New Roman"/>
          <w:szCs w:val="21"/>
        </w:rPr>
      </w:pPr>
      <w:r>
        <w:rPr>
          <w:rFonts w:hint="eastAsia" w:ascii="Times New Roman" w:hAnsi="Times New Roman" w:cs="Times New Roman"/>
          <w:szCs w:val="21"/>
        </w:rPr>
        <w:t xml:space="preserve">Then I would like talk that </w:t>
      </w:r>
      <w:r>
        <w:rPr>
          <w:rFonts w:ascii="Times New Roman" w:hAnsi="Times New Roman" w:cs="Times New Roman"/>
          <w:szCs w:val="21"/>
        </w:rPr>
        <w:t xml:space="preserve">the strong radial magnetic field </w:t>
      </w:r>
      <w:r>
        <w:rPr>
          <w:rFonts w:hint="eastAsia" w:ascii="Times New Roman" w:hAnsi="Times New Roman" w:cs="Times New Roman"/>
          <w:szCs w:val="21"/>
        </w:rPr>
        <w:t xml:space="preserve">detected </w:t>
      </w:r>
      <w:r>
        <w:rPr>
          <w:rFonts w:ascii="Times New Roman" w:hAnsi="Times New Roman" w:cs="Times New Roman"/>
          <w:szCs w:val="21"/>
        </w:rPr>
        <w:t xml:space="preserve">in the vicinity of the GC is consistent with the prediction from our model of supermassive object with magnetic monopoles ( Peng and Chou 2001). </w:t>
      </w:r>
      <w:r>
        <w:rPr>
          <w:rFonts w:hint="eastAsia" w:ascii="Times New Roman" w:hAnsi="Times New Roman" w:cs="Times New Roman"/>
          <w:szCs w:val="21"/>
        </w:rPr>
        <w:t xml:space="preserve">This is a strong evidence of both no black hole at the GC and existence of magnetic monopoles (Peng et al., 2016, 2017a). </w:t>
      </w:r>
    </w:p>
    <w:p>
      <w:pPr>
        <w:rPr>
          <w:rFonts w:ascii="Times New Roman" w:hAnsi="Times New Roman"/>
          <w:bCs/>
        </w:rPr>
      </w:pPr>
      <w:r>
        <w:rPr>
          <w:rFonts w:ascii="Times New Roman" w:hAnsi="Times New Roman"/>
          <w:bCs/>
        </w:rPr>
        <w:t>Taking the RC effect</w:t>
      </w:r>
      <w:r>
        <w:rPr>
          <w:rFonts w:hint="eastAsia" w:ascii="Times New Roman" w:hAnsi="Times New Roman"/>
          <w:bCs/>
        </w:rPr>
        <w:t xml:space="preserve"> (n</w:t>
      </w:r>
      <w:r>
        <w:rPr>
          <w:rFonts w:ascii="Times New Roman" w:hAnsi="Times New Roman"/>
          <w:bCs/>
        </w:rPr>
        <w:t>ucleons may decay catalyzed by MM</w:t>
      </w:r>
      <w:r>
        <w:rPr>
          <w:rFonts w:hint="eastAsia" w:ascii="Times New Roman" w:hAnsi="Times New Roman"/>
          <w:bCs/>
        </w:rPr>
        <w:t>)</w:t>
      </w:r>
      <w:r>
        <w:rPr>
          <w:rFonts w:ascii="Times New Roman" w:hAnsi="Times New Roman"/>
          <w:bCs/>
        </w:rPr>
        <w:t xml:space="preserve"> as an energy source, </w:t>
      </w:r>
      <w:r>
        <w:rPr>
          <w:rFonts w:hint="eastAsia" w:ascii="Times New Roman" w:hAnsi="Times New Roman" w:cs="Times New Roman"/>
          <w:szCs w:val="21"/>
        </w:rPr>
        <w:t>besides</w:t>
      </w:r>
      <w:r>
        <w:rPr>
          <w:rFonts w:hint="eastAsia" w:ascii="Times New Roman" w:hAnsi="Times New Roman" w:cs="Times New Roman"/>
          <w:b/>
          <w:szCs w:val="21"/>
        </w:rPr>
        <w:t xml:space="preserve">, </w:t>
      </w:r>
      <w:r>
        <w:rPr>
          <w:rFonts w:ascii="Times New Roman" w:hAnsi="Times New Roman"/>
          <w:bCs/>
        </w:rPr>
        <w:t>we have proposed an unified model for various supernova explosion</w:t>
      </w:r>
      <w:r>
        <w:rPr>
          <w:rFonts w:hint="eastAsia" w:ascii="Times New Roman" w:hAnsi="Times New Roman"/>
          <w:bCs/>
        </w:rPr>
        <w:t xml:space="preserve">(Peng et al. 2017b). In our model, the </w:t>
      </w:r>
      <w:r>
        <w:rPr>
          <w:rFonts w:ascii="Times New Roman" w:hAnsi="Times New Roman"/>
          <w:bCs/>
        </w:rPr>
        <w:t>remnant</w:t>
      </w:r>
      <w:r>
        <w:rPr>
          <w:rFonts w:hint="eastAsia" w:ascii="Times New Roman" w:hAnsi="Times New Roman"/>
          <w:bCs/>
        </w:rPr>
        <w:t xml:space="preserve"> of the collapsed core of supernova is still a neutron star rather than a black hole no matter</w:t>
      </w:r>
      <w:r>
        <w:rPr>
          <w:rFonts w:ascii="Times New Roman" w:hAnsi="Times New Roman"/>
          <w:bCs/>
        </w:rPr>
        <w:t xml:space="preserve"> how huge of the supernova ma</w:t>
      </w:r>
      <w:r>
        <w:rPr>
          <w:rFonts w:hint="eastAsia" w:ascii="Times New Roman" w:hAnsi="Times New Roman"/>
          <w:bCs/>
        </w:rPr>
        <w:t>ss. That means, black holes with stellar mass are impossible to be formed through supernova explosion.</w:t>
      </w:r>
    </w:p>
    <w:p>
      <w:pPr>
        <w:rPr>
          <w:rFonts w:ascii="Times New Roman" w:hAnsi="Times New Roman" w:cs="Times New Roman"/>
          <w:b/>
          <w:szCs w:val="21"/>
          <w:shd w:val="clear" w:color="auto" w:fill="F9FBFC"/>
        </w:rPr>
      </w:pPr>
      <w:r>
        <w:rPr>
          <w:rFonts w:hint="eastAsia" w:ascii="Times New Roman" w:hAnsi="Times New Roman" w:cs="Times New Roman"/>
          <w:b/>
          <w:sz w:val="24"/>
          <w:szCs w:val="24"/>
        </w:rPr>
        <w:t>part II:</w:t>
      </w:r>
      <w:r>
        <w:rPr>
          <w:rFonts w:hint="eastAsia" w:ascii="Times New Roman" w:hAnsi="Times New Roman" w:cs="Times New Roman"/>
          <w:b/>
          <w:szCs w:val="21"/>
        </w:rPr>
        <w:t xml:space="preserve"> Query on the black hole models for other </w:t>
      </w:r>
      <w:r>
        <w:rPr>
          <w:rFonts w:hint="eastAsia" w:ascii="Times New Roman" w:hAnsi="Times New Roman" w:cs="Times New Roman"/>
          <w:b/>
          <w:szCs w:val="21"/>
          <w:shd w:val="clear" w:color="auto" w:fill="F9FBFC"/>
        </w:rPr>
        <w:t>quasars and active galactic nuclei:</w:t>
      </w:r>
    </w:p>
    <w:p>
      <w:pPr>
        <w:rPr>
          <w:rFonts w:hint="default" w:ascii="Times New Roman" w:hAnsi="Times New Roman" w:cs="Times New Roman"/>
          <w:lang w:val="en-US" w:eastAsia="zh-CN"/>
        </w:rPr>
      </w:pPr>
      <w:r>
        <w:rPr>
          <w:rFonts w:hint="eastAsia" w:ascii="Times New Roman" w:hAnsi="Times New Roman" w:cs="Times New Roman"/>
          <w:b/>
          <w:szCs w:val="21"/>
          <w:shd w:val="clear" w:color="auto" w:fill="F9FBFC"/>
        </w:rPr>
        <w:t>The key dilemma of the black hole model is the question o</w:t>
      </w:r>
      <w:r>
        <w:rPr>
          <w:rFonts w:ascii="Times New Roman" w:hAnsi="Times New Roman" w:cs="Times New Roman"/>
          <w:b/>
          <w:szCs w:val="21"/>
          <w:shd w:val="clear" w:color="auto" w:fill="F9FBFC"/>
        </w:rPr>
        <w:t xml:space="preserve">n the BH mass </w:t>
      </w:r>
      <w:r>
        <w:rPr>
          <w:rFonts w:hint="eastAsia" w:ascii="Times New Roman" w:hAnsi="Times New Roman" w:cs="Times New Roman"/>
          <w:b/>
          <w:szCs w:val="21"/>
          <w:shd w:val="clear" w:color="auto" w:fill="F9FBFC"/>
        </w:rPr>
        <w:t xml:space="preserve">at </w:t>
      </w:r>
      <w:r>
        <w:rPr>
          <w:rFonts w:ascii="Times New Roman" w:hAnsi="Times New Roman" w:cs="Times New Roman"/>
          <w:b/>
          <w:szCs w:val="21"/>
          <w:shd w:val="clear" w:color="auto" w:fill="F9FBFC"/>
        </w:rPr>
        <w:t xml:space="preserve">the center </w:t>
      </w:r>
      <w:r>
        <w:rPr>
          <w:rFonts w:hint="eastAsia" w:ascii="Times New Roman" w:hAnsi="Times New Roman" w:cs="Times New Roman"/>
          <w:b/>
          <w:szCs w:val="21"/>
          <w:shd w:val="clear" w:color="auto" w:fill="F9FBFC"/>
        </w:rPr>
        <w:t>of</w:t>
      </w:r>
      <w:r>
        <w:rPr>
          <w:rFonts w:ascii="Times New Roman" w:hAnsi="Times New Roman" w:cs="Times New Roman"/>
          <w:b/>
          <w:szCs w:val="21"/>
          <w:shd w:val="clear" w:color="auto" w:fill="F9FBFC"/>
        </w:rPr>
        <w:t xml:space="preserve"> AGNs</w:t>
      </w:r>
      <w:r>
        <w:rPr>
          <w:rFonts w:hint="eastAsia" w:ascii="Times New Roman" w:hAnsi="Times New Roman" w:cs="Times New Roman"/>
          <w:b/>
          <w:szCs w:val="21"/>
          <w:shd w:val="clear" w:color="auto" w:fill="F9FBFC"/>
        </w:rPr>
        <w:t xml:space="preserve"> .</w:t>
      </w:r>
      <w:r>
        <w:rPr>
          <w:rFonts w:ascii="Times New Roman" w:hAnsi="Times New Roman" w:cs="Times New Roman"/>
        </w:rPr>
        <w:t xml:space="preserve"> The radiation from the BHs is </w:t>
      </w:r>
      <w:r>
        <w:rPr>
          <w:rFonts w:hint="eastAsia" w:ascii="Times New Roman" w:hAnsi="Times New Roman" w:cs="Times New Roman"/>
          <w:lang w:val="en-US" w:eastAsia="zh-CN"/>
        </w:rPr>
        <w:t>emitted by gas</w:t>
      </w:r>
      <w:r>
        <w:rPr>
          <w:rFonts w:ascii="Times New Roman" w:hAnsi="Times New Roman" w:cs="Times New Roman"/>
        </w:rPr>
        <w:t xml:space="preserve"> of </w:t>
      </w:r>
      <w:r>
        <w:rPr>
          <w:rFonts w:hint="eastAsia" w:ascii="Times New Roman" w:hAnsi="Times New Roman" w:cs="Times New Roman"/>
          <w:lang w:val="en-US" w:eastAsia="zh-CN"/>
        </w:rPr>
        <w:t xml:space="preserve">an </w:t>
      </w:r>
      <w:r>
        <w:rPr>
          <w:rFonts w:ascii="Times New Roman" w:hAnsi="Times New Roman" w:cs="Times New Roman"/>
        </w:rPr>
        <w:t xml:space="preserve">accretion disk around the BHs. </w:t>
      </w:r>
      <w:r>
        <w:rPr>
          <w:rFonts w:ascii="Times New Roman" w:hAnsi="Times New Roman" w:cs="Times New Roman"/>
          <w:color w:val="333333"/>
          <w:szCs w:val="21"/>
          <w:shd w:val="clear" w:color="auto" w:fill="F7F8FA"/>
        </w:rPr>
        <w:t>According to the Mach principle, the mass distribution of the universe (different redshifts) of the black holes formed in the early universe (with the number of black holes formed) was roughly the same. Through the accretion process, the mass of black holes could only increase continuously.</w:t>
      </w:r>
      <w:r>
        <w:rPr>
          <w:rFonts w:hint="eastAsia" w:ascii="Times New Roman" w:hAnsi="Times New Roman" w:cs="Times New Roman"/>
        </w:rPr>
        <w:t xml:space="preserve"> </w:t>
      </w:r>
    </w:p>
    <w:p>
      <w:pPr>
        <w:keepNext w:val="0"/>
        <w:keepLines w:val="0"/>
        <w:widowControl w:val="0"/>
        <w:suppressLineNumbers w:val="0"/>
        <w:spacing w:before="0" w:beforeAutospacing="0" w:after="0" w:afterAutospacing="0"/>
        <w:ind w:left="0" w:right="0"/>
        <w:jc w:val="both"/>
        <w:rPr>
          <w:rFonts w:hint="default" w:ascii="Times New Roman" w:hAnsi="Times New Roman" w:cs="Times New Roman"/>
          <w:sz w:val="21"/>
          <w:szCs w:val="21"/>
          <w:lang w:val="en-US"/>
        </w:rPr>
      </w:pPr>
      <w:r>
        <w:rPr>
          <w:rFonts w:hint="default" w:ascii="Times New Roman" w:hAnsi="Times New Roman" w:eastAsia="宋体" w:cs="Times New Roman"/>
          <w:kern w:val="2"/>
          <w:sz w:val="21"/>
          <w:szCs w:val="21"/>
          <w:lang w:val="en-US" w:eastAsia="zh-CN" w:bidi="ar"/>
        </w:rPr>
        <w:t>In order to find the original mass of a quasar when it was born in the early universe, we need to subtract the mass added by accretion from the mass of the quasar determined today since the time of its birth (t ≈ 0 ) to the time of t(z)</w:t>
      </w:r>
      <w:r>
        <w:rPr>
          <w:rFonts w:hint="eastAsia" w:ascii="Times New Roman" w:hAnsi="Times New Roman" w:eastAsia="宋体" w:cs="Times New Roman"/>
          <w:kern w:val="2"/>
          <w:sz w:val="21"/>
          <w:szCs w:val="21"/>
          <w:lang w:val="en-US" w:eastAsia="zh-CN" w:bidi="ar"/>
        </w:rPr>
        <w:t xml:space="preserve"> , i</w:t>
      </w:r>
      <w:r>
        <w:rPr>
          <w:rFonts w:ascii="Times New Roman" w:hAnsi="Times New Roman" w:cs="Times New Roman"/>
          <w:sz w:val="21"/>
          <w:szCs w:val="21"/>
        </w:rPr>
        <w:t>f we assume that all quasars were born at the same primordial era</w:t>
      </w:r>
      <w:r>
        <w:rPr>
          <w:rFonts w:hint="default" w:ascii="Times New Roman" w:hAnsi="Times New Roman" w:eastAsia="宋体" w:cs="Times New Roman"/>
          <w:kern w:val="2"/>
          <w:sz w:val="21"/>
          <w:szCs w:val="21"/>
          <w:lang w:val="en-US" w:eastAsia="zh-CN" w:bidi="ar"/>
        </w:rPr>
        <w:t>. However, according to various possible accretion theories in the current research and taking the data of 105,783 quasars based by SLOAN Digital sky survey (SDSS), we find that the primordial masses of these black holes (quasars) with medium and low redshift are mostly negative or very small after deduction. This is totally ridiculous.</w:t>
      </w:r>
    </w:p>
    <w:p>
      <w:pPr>
        <w:rPr>
          <w:rFonts w:ascii="Times New Roman" w:hAnsi="Times New Roman" w:cs="Times New Roman"/>
          <w:b/>
          <w:szCs w:val="21"/>
          <w:shd w:val="clear" w:color="auto" w:fill="F9FBFC"/>
        </w:rPr>
      </w:pPr>
      <w:r>
        <w:rPr>
          <w:rFonts w:hint="eastAsia" w:ascii="Times New Roman" w:hAnsi="Times New Roman" w:cs="Times New Roman"/>
          <w:b/>
          <w:szCs w:val="21"/>
          <w:shd w:val="clear" w:color="auto" w:fill="F9FBFC"/>
        </w:rPr>
        <w:t>However, the dilemma will disappear in our model of Supper-massive Stars with magnetic monopoles</w:t>
      </w:r>
      <w:r>
        <w:rPr>
          <w:rFonts w:ascii="Times New Roman" w:hAnsi="Times New Roman" w:cs="Times New Roman"/>
          <w:b/>
          <w:szCs w:val="21"/>
        </w:rPr>
        <w:t xml:space="preserve"> ( Peng and Chou 2001</w:t>
      </w:r>
      <w:r>
        <w:rPr>
          <w:rFonts w:hint="eastAsia" w:ascii="Times New Roman" w:hAnsi="Times New Roman" w:cs="Times New Roman"/>
          <w:b/>
          <w:szCs w:val="21"/>
          <w:lang w:val="en-US" w:eastAsia="zh-CN"/>
        </w:rPr>
        <w:t>, Peng &amp; Li, 2019</w:t>
      </w:r>
      <w:r>
        <w:rPr>
          <w:rFonts w:ascii="Times New Roman" w:hAnsi="Times New Roman" w:cs="Times New Roman"/>
          <w:b/>
          <w:szCs w:val="21"/>
        </w:rPr>
        <w:t>)</w:t>
      </w:r>
      <w:r>
        <w:rPr>
          <w:rFonts w:hint="eastAsia" w:ascii="Times New Roman" w:hAnsi="Times New Roman" w:cs="Times New Roman"/>
          <w:b/>
          <w:szCs w:val="21"/>
          <w:shd w:val="clear" w:color="auto" w:fill="F9FBFC"/>
        </w:rPr>
        <w:t>.</w:t>
      </w:r>
    </w:p>
    <w:p>
      <w:pPr>
        <w:rPr>
          <w:rFonts w:ascii="Times New Roman" w:hAnsi="Times New Roman"/>
          <w:b/>
          <w:szCs w:val="21"/>
        </w:rPr>
      </w:pPr>
      <w:r>
        <w:rPr>
          <w:rFonts w:ascii="Times New Roman" w:hAnsi="Times New Roman"/>
          <w:b/>
          <w:szCs w:val="21"/>
        </w:rPr>
        <w:t>Re</w:t>
      </w:r>
      <w:r>
        <w:rPr>
          <w:rFonts w:hint="eastAsia" w:ascii="Times New Roman" w:hAnsi="Times New Roman"/>
          <w:b/>
          <w:szCs w:val="21"/>
        </w:rPr>
        <w:t>ference</w:t>
      </w:r>
    </w:p>
    <w:p>
      <w:pPr>
        <w:pStyle w:val="11"/>
        <w:numPr>
          <w:ilvl w:val="0"/>
          <w:numId w:val="1"/>
        </w:numPr>
        <w:spacing w:line="360" w:lineRule="auto"/>
        <w:ind w:firstLineChars="0"/>
        <w:rPr>
          <w:rFonts w:ascii="Times New Roman" w:hAnsi="Times New Roman"/>
          <w:szCs w:val="21"/>
        </w:rPr>
      </w:pPr>
      <w:r>
        <w:rPr>
          <w:rFonts w:ascii="Times New Roman" w:hAnsi="Times New Roman"/>
          <w:szCs w:val="21"/>
        </w:rPr>
        <w:t>Eatough R.P., et al., 2013, “A strong magnetic field around the supermassive black hole at the centre of the Galaxy”， &lt;Nature&gt;, Vol.591, 391-393.</w:t>
      </w:r>
    </w:p>
    <w:p>
      <w:pPr>
        <w:pStyle w:val="11"/>
        <w:numPr>
          <w:ilvl w:val="0"/>
          <w:numId w:val="1"/>
        </w:numPr>
        <w:spacing w:line="360" w:lineRule="auto"/>
        <w:ind w:firstLineChars="0"/>
        <w:rPr>
          <w:rFonts w:ascii="Times New Roman" w:hAnsi="Times New Roman"/>
          <w:szCs w:val="21"/>
        </w:rPr>
      </w:pPr>
      <w:r>
        <w:rPr>
          <w:rFonts w:ascii="Times New Roman" w:hAnsi="Times New Roman"/>
          <w:szCs w:val="21"/>
        </w:rPr>
        <w:t xml:space="preserve">Peng Q. </w:t>
      </w:r>
      <w:r>
        <w:rPr>
          <w:rFonts w:hint="eastAsia" w:ascii="Times New Roman" w:hAnsi="Times New Roman"/>
          <w:szCs w:val="21"/>
        </w:rPr>
        <w:t>&amp;</w:t>
      </w:r>
      <w:r>
        <w:rPr>
          <w:rFonts w:ascii="Times New Roman" w:hAnsi="Times New Roman"/>
          <w:szCs w:val="21"/>
        </w:rPr>
        <w:t xml:space="preserve"> Chou C., 2001, “High-Energy Radiation From a Model of Quasars, Active Galactic Nuclei, And the Galactic Center With Magnetic Monopoles”, ApJ., 551(2001) L23-L26</w:t>
      </w:r>
    </w:p>
    <w:p>
      <w:pPr>
        <w:pStyle w:val="11"/>
        <w:numPr>
          <w:ilvl w:val="0"/>
          <w:numId w:val="1"/>
        </w:numPr>
        <w:spacing w:line="360" w:lineRule="auto"/>
        <w:ind w:firstLineChars="0"/>
        <w:rPr>
          <w:rFonts w:ascii="Times New Roman" w:hAnsi="Times New Roman"/>
          <w:szCs w:val="21"/>
        </w:rPr>
      </w:pPr>
      <w:r>
        <w:rPr>
          <w:rFonts w:ascii="Times New Roman" w:hAnsi="Times New Roman" w:eastAsia="楷体"/>
          <w:szCs w:val="21"/>
        </w:rPr>
        <w:t>Peng</w:t>
      </w:r>
      <w:r>
        <w:rPr>
          <w:rFonts w:hint="eastAsia" w:ascii="Times New Roman" w:hAnsi="Times New Roman" w:eastAsia="楷体"/>
          <w:szCs w:val="21"/>
        </w:rPr>
        <w:t xml:space="preserve"> et al.,</w:t>
      </w:r>
      <w:r>
        <w:rPr>
          <w:rFonts w:ascii="Times New Roman" w:hAnsi="Times New Roman" w:eastAsia="楷体"/>
          <w:szCs w:val="21"/>
        </w:rPr>
        <w:t xml:space="preserve"> 2016</w:t>
      </w:r>
      <w:r>
        <w:rPr>
          <w:rFonts w:hint="eastAsia" w:ascii="Times New Roman" w:hAnsi="Times New Roman" w:eastAsia="楷体"/>
          <w:szCs w:val="21"/>
        </w:rPr>
        <w:t xml:space="preserve">, </w:t>
      </w:r>
      <w:r>
        <w:rPr>
          <w:rFonts w:ascii="Times New Roman" w:hAnsi="Times New Roman" w:eastAsia="楷体"/>
          <w:b/>
          <w:sz w:val="24"/>
          <w:szCs w:val="24"/>
        </w:rPr>
        <w:t>“</w:t>
      </w:r>
      <w:r>
        <w:rPr>
          <w:rFonts w:ascii="Times New Roman" w:hAnsi="Times New Roman" w:eastAsia="楷体"/>
          <w:sz w:val="24"/>
          <w:szCs w:val="24"/>
        </w:rPr>
        <w:t>A possible influence on standard model of quasars and active galactic nuclei in strong magnetic field”,  Astrophys Space Sci (2016) 361:388</w:t>
      </w:r>
    </w:p>
    <w:p>
      <w:pPr>
        <w:pStyle w:val="11"/>
        <w:numPr>
          <w:ilvl w:val="0"/>
          <w:numId w:val="1"/>
        </w:numPr>
        <w:ind w:firstLineChars="0"/>
        <w:rPr>
          <w:rFonts w:ascii="Times New Roman" w:hAnsi="Times New Roman" w:eastAsia="楷体"/>
          <w:szCs w:val="21"/>
        </w:rPr>
      </w:pPr>
      <w:r>
        <w:rPr>
          <w:rFonts w:ascii="Times New Roman" w:hAnsi="Times New Roman" w:eastAsia="楷体"/>
          <w:szCs w:val="21"/>
        </w:rPr>
        <w:t>Peng</w:t>
      </w:r>
      <w:r>
        <w:rPr>
          <w:rFonts w:hint="eastAsia" w:ascii="Times New Roman" w:hAnsi="Times New Roman" w:eastAsia="楷体"/>
          <w:szCs w:val="21"/>
        </w:rPr>
        <w:t xml:space="preserve"> et al.</w:t>
      </w:r>
      <w:r>
        <w:rPr>
          <w:rFonts w:ascii="Times New Roman" w:hAnsi="Times New Roman" w:eastAsia="楷体"/>
          <w:szCs w:val="21"/>
        </w:rPr>
        <w:t>, 2017</w:t>
      </w:r>
      <w:r>
        <w:rPr>
          <w:rFonts w:hint="eastAsia" w:ascii="Times New Roman" w:hAnsi="Times New Roman" w:eastAsia="楷体"/>
          <w:szCs w:val="21"/>
        </w:rPr>
        <w:t xml:space="preserve">a, </w:t>
      </w:r>
      <w:r>
        <w:rPr>
          <w:rFonts w:ascii="Times New Roman" w:hAnsi="Times New Roman" w:eastAsia="楷体"/>
          <w:szCs w:val="21"/>
        </w:rPr>
        <w:t>“Some new possible anticipated signals for existence of magnetic monopoles?”</w:t>
      </w:r>
      <w:r>
        <w:rPr>
          <w:rFonts w:hint="eastAsia" w:ascii="Times New Roman" w:hAnsi="Times New Roman" w:eastAsia="楷体"/>
          <w:szCs w:val="21"/>
        </w:rPr>
        <w:t xml:space="preserve"> , </w:t>
      </w:r>
      <w:r>
        <w:rPr>
          <w:rFonts w:ascii="Times New Roman" w:hAnsi="Times New Roman" w:eastAsia="楷体"/>
          <w:szCs w:val="21"/>
        </w:rPr>
        <w:t>New Astronomy, 57 (2017)59-62</w:t>
      </w:r>
    </w:p>
    <w:p>
      <w:pPr>
        <w:pStyle w:val="11"/>
        <w:numPr>
          <w:ilvl w:val="0"/>
          <w:numId w:val="1"/>
        </w:numPr>
        <w:ind w:firstLineChars="0"/>
        <w:rPr>
          <w:rFonts w:ascii="Times New Roman" w:hAnsi="Times New Roman" w:eastAsia="楷体"/>
          <w:szCs w:val="21"/>
        </w:rPr>
      </w:pPr>
      <w:r>
        <w:rPr>
          <w:rFonts w:ascii="Times New Roman" w:hAnsi="Times New Roman"/>
          <w:szCs w:val="21"/>
        </w:rPr>
        <w:t>Peng</w:t>
      </w:r>
      <w:r>
        <w:rPr>
          <w:rFonts w:hint="eastAsia" w:ascii="Times New Roman" w:hAnsi="Times New Roman"/>
          <w:szCs w:val="21"/>
        </w:rPr>
        <w:t xml:space="preserve"> et al.</w:t>
      </w:r>
      <w:r>
        <w:rPr>
          <w:rFonts w:ascii="Times New Roman" w:hAnsi="Times New Roman"/>
          <w:szCs w:val="21"/>
        </w:rPr>
        <w:t xml:space="preserve"> , 2017</w:t>
      </w:r>
      <w:r>
        <w:rPr>
          <w:rFonts w:hint="eastAsia" w:ascii="Times New Roman" w:hAnsi="Times New Roman"/>
          <w:szCs w:val="21"/>
        </w:rPr>
        <w:t>b</w:t>
      </w:r>
      <w:r>
        <w:rPr>
          <w:rFonts w:ascii="Times New Roman" w:hAnsi="Times New Roman"/>
          <w:szCs w:val="21"/>
        </w:rPr>
        <w:t xml:space="preserve">, “ </w:t>
      </w:r>
      <w:r>
        <w:rPr>
          <w:rFonts w:ascii="Times New Roman" w:hAnsi="Times New Roman"/>
          <w:bCs/>
          <w:szCs w:val="21"/>
        </w:rPr>
        <w:t>A unified model of supernova driven by magnetic monopoles”</w:t>
      </w:r>
    </w:p>
    <w:p>
      <w:pPr>
        <w:pStyle w:val="11"/>
        <w:ind w:left="360" w:firstLine="240" w:firstLineChars="100"/>
        <w:rPr>
          <w:rFonts w:ascii="Times New Roman" w:hAnsi="Times New Roman" w:eastAsia="楷体"/>
          <w:sz w:val="24"/>
          <w:szCs w:val="24"/>
        </w:rPr>
      </w:pPr>
      <w:r>
        <w:rPr>
          <w:rFonts w:ascii="Times New Roman" w:hAnsi="Times New Roman" w:eastAsia="楷体"/>
          <w:sz w:val="24"/>
          <w:szCs w:val="24"/>
        </w:rPr>
        <w:t>Astrophys Space Sci , 2017, 362;22</w:t>
      </w:r>
    </w:p>
    <w:p>
      <w:pPr>
        <w:keepNext w:val="0"/>
        <w:keepLines w:val="0"/>
        <w:widowControl/>
        <w:numPr>
          <w:ilvl w:val="0"/>
          <w:numId w:val="1"/>
        </w:numPr>
        <w:suppressLineNumbers w:val="0"/>
        <w:ind w:left="360" w:leftChars="0" w:hanging="360" w:firstLineChars="0"/>
        <w:jc w:val="left"/>
        <w:rPr>
          <w:rFonts w:hint="default" w:ascii="Times New Roman" w:hAnsi="Times New Roman" w:cs="Times New Roman"/>
          <w:b w:val="0"/>
          <w:bCs w:val="0"/>
          <w:sz w:val="21"/>
          <w:szCs w:val="21"/>
        </w:rPr>
      </w:pPr>
      <w:r>
        <w:rPr>
          <w:rFonts w:hint="default" w:ascii="Times New Roman" w:hAnsi="Times New Roman" w:eastAsia="楷体" w:cs="Times New Roman"/>
          <w:b w:val="0"/>
          <w:bCs w:val="0"/>
          <w:sz w:val="21"/>
          <w:szCs w:val="21"/>
          <w:lang w:val="en-US" w:eastAsia="zh-CN"/>
        </w:rPr>
        <w:t>Peng &amp; Li, 2019,</w:t>
      </w:r>
      <w:bookmarkStart w:id="2" w:name="_GoBack"/>
      <w:bookmarkEnd w:id="2"/>
      <w:r>
        <w:rPr>
          <w:rFonts w:hint="default" w:ascii="Times New Roman" w:hAnsi="Times New Roman" w:eastAsia="楷体" w:cs="Times New Roman"/>
          <w:b w:val="0"/>
          <w:bCs w:val="0"/>
          <w:sz w:val="21"/>
          <w:szCs w:val="21"/>
          <w:lang w:val="en-US" w:eastAsia="zh-CN"/>
        </w:rPr>
        <w:t xml:space="preserve"> “</w:t>
      </w:r>
      <w:r>
        <w:rPr>
          <w:rFonts w:hint="default" w:ascii="Times New Roman" w:hAnsi="Times New Roman" w:eastAsia="宋体" w:cs="Times New Roman"/>
          <w:b w:val="0"/>
          <w:bCs w:val="0"/>
          <w:sz w:val="21"/>
          <w:szCs w:val="21"/>
        </w:rPr>
        <w:t xml:space="preserve">Implications for Discovery of Strong Radial Magnetic Field at the Galactic </w:t>
      </w:r>
    </w:p>
    <w:p>
      <w:pPr>
        <w:keepNext w:val="0"/>
        <w:keepLines w:val="0"/>
        <w:widowControl/>
        <w:numPr>
          <w:numId w:val="0"/>
        </w:numPr>
        <w:suppressLineNumbers w:val="0"/>
        <w:ind w:leftChars="0" w:firstLine="630" w:firstLineChars="300"/>
        <w:jc w:val="left"/>
        <w:rPr>
          <w:rFonts w:hint="default" w:ascii="Times New Roman" w:hAnsi="Times New Roman" w:cs="Times New Roman"/>
          <w:b w:val="0"/>
          <w:bCs w:val="0"/>
          <w:sz w:val="21"/>
          <w:szCs w:val="21"/>
        </w:rPr>
      </w:pPr>
      <w:r>
        <w:rPr>
          <w:rFonts w:hint="eastAsia" w:ascii="Times New Roman" w:hAnsi="Times New Roman" w:eastAsia="宋体" w:cs="Times New Roman"/>
          <w:b w:val="0"/>
          <w:bCs w:val="0"/>
          <w:sz w:val="21"/>
          <w:szCs w:val="21"/>
          <w:lang w:val="en-US" w:eastAsia="zh-CN"/>
        </w:rPr>
        <w:t xml:space="preserve">  </w:t>
      </w:r>
      <w:r>
        <w:rPr>
          <w:rFonts w:hint="default" w:ascii="Times New Roman" w:hAnsi="Times New Roman" w:eastAsia="宋体" w:cs="Times New Roman"/>
          <w:b w:val="0"/>
          <w:bCs w:val="0"/>
          <w:sz w:val="21"/>
          <w:szCs w:val="21"/>
        </w:rPr>
        <w:t>Center—Challenge to Black Hole Models</w:t>
      </w:r>
      <w:r>
        <w:rPr>
          <w:rFonts w:hint="default" w:ascii="Times New Roman" w:hAnsi="Times New Roman" w:eastAsia="宋体" w:cs="Times New Roman"/>
          <w:b w:val="0"/>
          <w:bCs w:val="0"/>
          <w:sz w:val="21"/>
          <w:szCs w:val="21"/>
          <w:lang w:val="en-US" w:eastAsia="zh-CN"/>
        </w:rPr>
        <w:t>”</w:t>
      </w:r>
      <w:r>
        <w:rPr>
          <w:rFonts w:hint="eastAsia" w:ascii="Times New Roman" w:hAnsi="Times New Roman" w:eastAsia="宋体" w:cs="Times New Roman"/>
          <w:b w:val="0"/>
          <w:bCs w:val="0"/>
          <w:sz w:val="21"/>
          <w:szCs w:val="21"/>
          <w:lang w:val="en-US" w:eastAsia="zh-CN"/>
        </w:rPr>
        <w:t>,</w:t>
      </w:r>
    </w:p>
    <w:p>
      <w:pPr>
        <w:keepNext w:val="0"/>
        <w:keepLines w:val="0"/>
        <w:widowControl/>
        <w:numPr>
          <w:ilvl w:val="0"/>
          <w:numId w:val="0"/>
        </w:numPr>
        <w:suppressLineNumbers w:val="0"/>
        <w:ind w:firstLine="840" w:firstLineChars="400"/>
        <w:jc w:val="left"/>
        <w:rPr>
          <w:rFonts w:hint="default" w:ascii="Times New Roman" w:hAnsi="Times New Roman" w:cs="Times New Roman"/>
          <w:b w:val="0"/>
          <w:bCs w:val="0"/>
          <w:sz w:val="21"/>
          <w:szCs w:val="21"/>
        </w:rPr>
      </w:pPr>
      <w:r>
        <w:rPr>
          <w:rFonts w:hint="default" w:ascii="Times New Roman" w:hAnsi="Times New Roman" w:eastAsia="Calibri-Bold" w:cs="Times New Roman"/>
          <w:b w:val="0"/>
          <w:bCs w:val="0"/>
          <w:color w:val="000000"/>
          <w:kern w:val="0"/>
          <w:sz w:val="21"/>
          <w:szCs w:val="21"/>
          <w:lang w:val="en-US" w:eastAsia="zh-CN" w:bidi="ar"/>
        </w:rPr>
        <w:t>Journal of Modern Physics, 2019, 10, 1416 -1423</w:t>
      </w:r>
    </w:p>
    <w:p>
      <w:pPr>
        <w:pStyle w:val="11"/>
        <w:numPr>
          <w:numId w:val="0"/>
        </w:numPr>
        <w:ind w:leftChars="0"/>
        <w:rPr>
          <w:rFonts w:hint="default" w:ascii="Times New Roman" w:hAnsi="Times New Roman" w:eastAsia="楷体" w:cs="Times New Roman"/>
          <w:b w:val="0"/>
          <w:bCs w:val="0"/>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宋体">
    <w:panose1 w:val="02010600030101010101"/>
    <w:charset w:val="86"/>
    <w:family w:val="auto"/>
    <w:pitch w:val="variable"/>
    <w:sig w:usb0="00000003" w:usb1="288F0000" w:usb2="00000006" w:usb3="00000000" w:csb0="00040001" w:csb1="00000000"/>
  </w:font>
  <w:font w:name="Cambria Math">
    <w:panose1 w:val="02040503050406030204"/>
    <w:charset w:val="00"/>
    <w:family w:val="auto"/>
    <w:pitch w:val="variable"/>
    <w:sig w:usb0="E00002FF" w:usb1="420024FF" w:usb2="00000000" w:usb3="00000000" w:csb0="2000019F" w:csb1="00000000"/>
  </w:font>
  <w:font w:name="Calibri-Bold">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D1040E"/>
    <w:multiLevelType w:val="multilevel"/>
    <w:tmpl w:val="55D1040E"/>
    <w:lvl w:ilvl="0" w:tentative="0">
      <w:start w:val="1"/>
      <w:numFmt w:val="decimal"/>
      <w:lvlText w:val="%1)"/>
      <w:lvlJc w:val="left"/>
      <w:pPr>
        <w:ind w:left="360" w:hanging="36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7F013A"/>
    <w:rsid w:val="00323366"/>
    <w:rsid w:val="00337A2F"/>
    <w:rsid w:val="00354EB9"/>
    <w:rsid w:val="00384D31"/>
    <w:rsid w:val="003D40A8"/>
    <w:rsid w:val="00451A25"/>
    <w:rsid w:val="00570628"/>
    <w:rsid w:val="0059058E"/>
    <w:rsid w:val="006603BF"/>
    <w:rsid w:val="00675D4A"/>
    <w:rsid w:val="007F013A"/>
    <w:rsid w:val="00A36864"/>
    <w:rsid w:val="00B57380"/>
    <w:rsid w:val="00BA1701"/>
    <w:rsid w:val="00BC1650"/>
    <w:rsid w:val="00BF162E"/>
    <w:rsid w:val="00C236DA"/>
    <w:rsid w:val="00CF34D1"/>
    <w:rsid w:val="00D25C9B"/>
    <w:rsid w:val="00D9711A"/>
    <w:rsid w:val="00F76613"/>
    <w:rsid w:val="00FB283D"/>
    <w:rsid w:val="00FE082F"/>
    <w:rsid w:val="0F1F138C"/>
    <w:rsid w:val="5E46443F"/>
    <w:rsid w:val="6BD163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CellMar>
        <w:top w:w="0" w:type="dxa"/>
        <w:left w:w="108" w:type="dxa"/>
        <w:bottom w:w="0" w:type="dxa"/>
        <w:right w:w="108" w:type="dxa"/>
      </w:tblCellMar>
    </w:tblPr>
  </w:style>
  <w:style w:type="paragraph" w:styleId="2">
    <w:name w:val="footer"/>
    <w:basedOn w:val="1"/>
    <w:link w:val="10"/>
    <w:semiHidden/>
    <w:unhideWhenUsed/>
    <w:uiPriority w:val="99"/>
    <w:pPr>
      <w:tabs>
        <w:tab w:val="center" w:pos="4153"/>
        <w:tab w:val="right" w:pos="8306"/>
      </w:tabs>
      <w:snapToGrid w:val="0"/>
      <w:jc w:val="left"/>
    </w:pPr>
    <w:rPr>
      <w:sz w:val="18"/>
      <w:szCs w:val="18"/>
    </w:rPr>
  </w:style>
  <w:style w:type="paragraph" w:styleId="3">
    <w:name w:val="header"/>
    <w:basedOn w:val="1"/>
    <w:link w:val="9"/>
    <w:semiHidden/>
    <w:unhideWhenUsed/>
    <w:uiPriority w:val="99"/>
    <w:pPr>
      <w:pBdr>
        <w:bottom w:val="single" w:color="auto" w:sz="6" w:space="1"/>
      </w:pBdr>
      <w:tabs>
        <w:tab w:val="center" w:pos="4153"/>
        <w:tab w:val="right" w:pos="8306"/>
      </w:tabs>
      <w:snapToGrid w:val="0"/>
      <w:jc w:val="center"/>
    </w:pPr>
    <w:rPr>
      <w:sz w:val="18"/>
      <w:szCs w:val="18"/>
    </w:rPr>
  </w:style>
  <w:style w:type="character" w:styleId="6">
    <w:name w:val="Emphasis"/>
    <w:basedOn w:val="5"/>
    <w:qFormat/>
    <w:uiPriority w:val="20"/>
    <w:rPr>
      <w:i/>
      <w:iCs/>
    </w:rPr>
  </w:style>
  <w:style w:type="character" w:styleId="7">
    <w:name w:val="Hyperlink"/>
    <w:basedOn w:val="5"/>
    <w:semiHidden/>
    <w:unhideWhenUsed/>
    <w:uiPriority w:val="99"/>
    <w:rPr>
      <w:color w:val="0000FF"/>
      <w:u w:val="single"/>
    </w:rPr>
  </w:style>
  <w:style w:type="paragraph" w:customStyle="1" w:styleId="8">
    <w:name w:val="Default"/>
    <w:basedOn w:val="1"/>
    <w:qFormat/>
    <w:uiPriority w:val="0"/>
    <w:pPr>
      <w:autoSpaceDE w:val="0"/>
      <w:autoSpaceDN w:val="0"/>
      <w:adjustRightInd w:val="0"/>
      <w:jc w:val="left"/>
    </w:pPr>
    <w:rPr>
      <w:rFonts w:ascii="楷体" w:hAnsi="楷体" w:eastAsia="楷体" w:cs="宋体"/>
      <w:color w:val="000000"/>
      <w:kern w:val="0"/>
      <w:sz w:val="24"/>
      <w:szCs w:val="24"/>
    </w:rPr>
  </w:style>
  <w:style w:type="character" w:customStyle="1" w:styleId="9">
    <w:name w:val="页眉 Char"/>
    <w:basedOn w:val="5"/>
    <w:link w:val="3"/>
    <w:semiHidden/>
    <w:uiPriority w:val="99"/>
    <w:rPr>
      <w:sz w:val="18"/>
      <w:szCs w:val="18"/>
    </w:rPr>
  </w:style>
  <w:style w:type="character" w:customStyle="1" w:styleId="10">
    <w:name w:val="页脚 Char"/>
    <w:basedOn w:val="5"/>
    <w:link w:val="2"/>
    <w:semiHidden/>
    <w:uiPriority w:val="99"/>
    <w:rPr>
      <w:sz w:val="18"/>
      <w:szCs w:val="18"/>
    </w:rPr>
  </w:style>
  <w:style w:type="paragraph" w:styleId="11">
    <w:name w:val="List Paragraph"/>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487</Words>
  <Characters>2778</Characters>
  <Lines>23</Lines>
  <Paragraphs>6</Paragraphs>
  <TotalTime>1</TotalTime>
  <ScaleCrop>false</ScaleCrop>
  <LinksUpToDate>false</LinksUpToDate>
  <CharactersWithSpaces>3259</CharactersWithSpaces>
  <Application>WPS Office_11.1.0.9440_F1E327BC-269C-435d-A152-05C5408002CA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2018-04-03T13:03:00Z</dcterms:created>
  <dc:creator>admin</dc:creator>
  <cp:lastModifiedBy>chins</cp:lastModifiedBy>
  <dcterms:modified xsi:type="dcterms:W3CDTF">2020-02-26T09:41:34Z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