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35D76" w14:textId="1F3468CD" w:rsidR="00653225" w:rsidRDefault="00653225" w:rsidP="00FA0549">
      <w:pPr>
        <w:jc w:val="center"/>
        <w:rPr>
          <w:b/>
          <w:bCs/>
        </w:rPr>
      </w:pPr>
      <w:bookmarkStart w:id="0" w:name="_Hlk25521979"/>
      <w:r w:rsidRPr="00FA0549">
        <w:rPr>
          <w:b/>
          <w:bCs/>
        </w:rPr>
        <w:t xml:space="preserve">Estimation of Health Risks </w:t>
      </w:r>
      <w:r w:rsidRPr="00FA0549">
        <w:rPr>
          <w:b/>
          <w:bCs/>
        </w:rPr>
        <w:t xml:space="preserve">in School Children </w:t>
      </w:r>
      <w:r w:rsidRPr="00FA0549">
        <w:rPr>
          <w:b/>
          <w:bCs/>
        </w:rPr>
        <w:t>from Air Pollution and Exposure to Cigarette Smoke during Pregnancy using Merseyside Community Child Health Survey and Ai</w:t>
      </w:r>
      <w:bookmarkStart w:id="1" w:name="_GoBack"/>
      <w:bookmarkEnd w:id="1"/>
      <w:r w:rsidRPr="00FA0549">
        <w:rPr>
          <w:b/>
          <w:bCs/>
        </w:rPr>
        <w:t xml:space="preserve">r </w:t>
      </w:r>
      <w:r w:rsidR="0069617C">
        <w:rPr>
          <w:b/>
          <w:bCs/>
        </w:rPr>
        <w:t>P</w:t>
      </w:r>
      <w:r w:rsidRPr="00FA0549">
        <w:rPr>
          <w:b/>
          <w:bCs/>
        </w:rPr>
        <w:t>ollution data</w:t>
      </w:r>
    </w:p>
    <w:bookmarkEnd w:id="0"/>
    <w:p w14:paraId="6BE92346" w14:textId="77777777" w:rsidR="00FA0549" w:rsidRPr="00FA0549" w:rsidRDefault="00FA0549" w:rsidP="00FA0549">
      <w:pPr>
        <w:jc w:val="center"/>
        <w:rPr>
          <w:b/>
          <w:bCs/>
        </w:rPr>
      </w:pPr>
    </w:p>
    <w:p w14:paraId="3567869E" w14:textId="1379D4F8" w:rsidR="00545FCD" w:rsidRPr="00545FCD" w:rsidRDefault="00677CCD" w:rsidP="00545FCD">
      <w:pPr>
        <w:jc w:val="both"/>
        <w:rPr>
          <w:lang w:val="en-US"/>
        </w:rPr>
      </w:pPr>
      <w:r w:rsidRPr="00C44E84">
        <w:t xml:space="preserve">Air pollution and </w:t>
      </w:r>
      <w:r w:rsidR="00FF5E1A" w:rsidRPr="00C44E84">
        <w:t>e</w:t>
      </w:r>
      <w:r w:rsidRPr="00C44E84">
        <w:t xml:space="preserve">xposure to smoking during pregnancy are serious public health issues that can lead to child health problems. </w:t>
      </w:r>
      <w:r w:rsidR="00FF5E1A" w:rsidRPr="00C44E84">
        <w:t xml:space="preserve">There is emphasis form prevention and health promotion with main priority to </w:t>
      </w:r>
      <w:r w:rsidR="00FF5E1A" w:rsidRPr="00FF5E1A">
        <w:t>improve child environmental health indicators using existing information</w:t>
      </w:r>
      <w:r w:rsidR="00FF5E1A" w:rsidRPr="00C44E84">
        <w:t xml:space="preserve"> and to identify</w:t>
      </w:r>
      <w:r w:rsidR="00FF5E1A" w:rsidRPr="00FF5E1A">
        <w:t xml:space="preserve"> knowledge gaps and risk groups for developing new policies</w:t>
      </w:r>
      <w:r w:rsidR="00FF5E1A" w:rsidRPr="00C44E84">
        <w:t xml:space="preserve">. </w:t>
      </w:r>
      <w:r w:rsidRPr="00C44E84">
        <w:t>The objectives of this study were to develop and establish a combined database of air pollution indicators, exposure to cigarette smoke and health variables and to complete a descriptive analysis of environmental exposures and child health outcomes. And also, to compute odds ratio estimates for adverse birth and child health outcomes in relation to PM10/NOx emissions and PM10/NO2 concentrations individually and combined with pregnancy smoking categories and to estimate mean emissions for NOX and PM10, and mean concentrations for PM10 and NO2 in areas with high and low prevalence of adverse birth and child health outcomes. A descriptive cross-sectional study was conducted by linking air pollution data with data available from the community child health survey in 2006 using postcode sectors.</w:t>
      </w:r>
      <w:r w:rsidR="00545FCD" w:rsidRPr="00C44E84">
        <w:rPr>
          <w:sz w:val="23"/>
          <w:szCs w:val="23"/>
          <w:shd w:val="clear" w:color="auto" w:fill="FFFFFF"/>
        </w:rPr>
        <w:t xml:space="preserve"> </w:t>
      </w:r>
      <w:r w:rsidR="00545FCD" w:rsidRPr="00C44E84">
        <w:rPr>
          <w:sz w:val="23"/>
          <w:szCs w:val="23"/>
          <w:shd w:val="clear" w:color="auto" w:fill="FFFFFF"/>
        </w:rPr>
        <w:t xml:space="preserve">Permission was obtained from </w:t>
      </w:r>
      <w:r w:rsidR="00545FCD" w:rsidRPr="00C44E84">
        <w:rPr>
          <w:sz w:val="23"/>
          <w:szCs w:val="23"/>
          <w:shd w:val="clear" w:color="auto" w:fill="FFFFFF"/>
        </w:rPr>
        <w:t>s</w:t>
      </w:r>
      <w:r w:rsidR="00545FCD" w:rsidRPr="00C44E84">
        <w:rPr>
          <w:sz w:val="23"/>
          <w:szCs w:val="23"/>
          <w:shd w:val="clear" w:color="auto" w:fill="FFFFFF"/>
        </w:rPr>
        <w:t>chool authorities for distribution of a parent-completed questionnaire</w:t>
      </w:r>
      <w:r w:rsidR="00545FCD" w:rsidRPr="00C44E84">
        <w:rPr>
          <w:sz w:val="23"/>
          <w:szCs w:val="23"/>
          <w:shd w:val="clear" w:color="auto" w:fill="FFFFFF"/>
        </w:rPr>
        <w:t xml:space="preserve"> using standardise</w:t>
      </w:r>
      <w:r w:rsidR="009C7DC6" w:rsidRPr="00C44E84">
        <w:rPr>
          <w:sz w:val="23"/>
          <w:szCs w:val="23"/>
          <w:shd w:val="clear" w:color="auto" w:fill="FFFFFF"/>
        </w:rPr>
        <w:t>d questions from ISAAC questionnaire</w:t>
      </w:r>
      <w:r w:rsidR="00545FCD" w:rsidRPr="00C44E84">
        <w:rPr>
          <w:sz w:val="23"/>
          <w:szCs w:val="23"/>
          <w:shd w:val="clear" w:color="auto" w:fill="FFFFFF"/>
        </w:rPr>
        <w:t xml:space="preserve"> to children identified using the class registers</w:t>
      </w:r>
      <w:r w:rsidR="009C7DC6" w:rsidRPr="00C44E84">
        <w:rPr>
          <w:sz w:val="23"/>
          <w:szCs w:val="23"/>
          <w:shd w:val="clear" w:color="auto" w:fill="FFFFFF"/>
        </w:rPr>
        <w:t>.</w:t>
      </w:r>
      <w:r w:rsidRPr="00C44E84">
        <w:t xml:space="preserve"> PM10 and NO2 monitoring data were available as total and average emissions measured in tonnes per annum and NO2 and PM10 concentrations data in microgram per metre3. Outcomes included birth and child health outcomes in relation to air pollution and pregnancy smoking categories. </w:t>
      </w:r>
      <w:r w:rsidR="00FF5E1A" w:rsidRPr="00C44E84">
        <w:t xml:space="preserve">Socio-economic status was assessed using the Townsend scoring system and results were illustrated using Venn diagrams and spatial mapping. </w:t>
      </w:r>
      <w:r w:rsidRPr="00C44E84">
        <w:t>SPSS 20 was used for univariate analysis and backward stepwise logistic regression.</w:t>
      </w:r>
      <w:r w:rsidR="00FF5E1A" w:rsidRPr="00C44E84">
        <w:rPr>
          <w:rFonts w:ascii="Tahoma" w:eastAsiaTheme="minorEastAsia" w:hAnsi="Tahoma"/>
          <w:kern w:val="24"/>
          <w:sz w:val="28"/>
          <w:szCs w:val="28"/>
        </w:rPr>
        <w:t xml:space="preserve"> </w:t>
      </w:r>
      <w:r w:rsidR="00FF5E1A" w:rsidRPr="00C44E84">
        <w:t xml:space="preserve">The research </w:t>
      </w:r>
      <w:r w:rsidR="00FF5E1A" w:rsidRPr="00C44E84">
        <w:t>had ethical</w:t>
      </w:r>
      <w:r w:rsidR="00FF5E1A" w:rsidRPr="00C44E84">
        <w:t xml:space="preserve"> approved </w:t>
      </w:r>
      <w:r w:rsidR="00FF5E1A" w:rsidRPr="00C44E84">
        <w:t>from</w:t>
      </w:r>
      <w:r w:rsidR="00FF5E1A" w:rsidRPr="00C44E84">
        <w:t xml:space="preserve"> the Ethical Committees of the Royal Liverpool Children’s Hospital NHS Trust, Alder Hey, the Liverpool School of Tropical Medicine, and by the Environmental Protection Department, Sefton Council, Merseyside</w:t>
      </w:r>
      <w:r w:rsidR="00FF5E1A" w:rsidRPr="00C44E84">
        <w:t>.</w:t>
      </w:r>
      <w:r w:rsidRPr="00C44E84">
        <w:t xml:space="preserve"> Data from 792 school and children aged 5-11 years from 10 schools combined with corresponding air pollution data were used. There was independent association of childhood obesity with combined high NOX-PM10 emissions + maternal pregnancy smoking (adjusted OR 4.47, 95% CI 1.22-16.43, p=0.024) after adjustment for confounding factors. </w:t>
      </w:r>
      <w:r w:rsidR="00545FCD" w:rsidRPr="00C44E84">
        <w:t xml:space="preserve">The population attributable risk (PAR) estimates were: The PAR for childhood obesity associated with high NOx-PM10 emissions + MSDP was 44.38%. </w:t>
      </w:r>
      <w:r w:rsidR="00C44E84" w:rsidRPr="00C44E84">
        <w:t>Spatial mapping and Venn diagram outlines provided appropriate descriptive visualisation of these complex environmental exposures in relation to child health associations with increased obesity among children in areas where the prevalence of pregnancy smoking and air pollution was higher.</w:t>
      </w:r>
      <w:r w:rsidR="00C44E84">
        <w:t xml:space="preserve"> </w:t>
      </w:r>
      <w:r w:rsidRPr="00C44E84">
        <w:t>Combined high NOx-PM10 emissions and maternal pregnancy smoking were associated with an increased risk of childhood obesity.</w:t>
      </w:r>
      <w:r w:rsidR="00545FCD" w:rsidRPr="00C44E84">
        <w:rPr>
          <w:rFonts w:eastAsiaTheme="minorEastAsia" w:hAnsi="Tahoma"/>
          <w:shadow/>
          <w:sz w:val="36"/>
          <w:szCs w:val="36"/>
          <w14:shadow w14:blurRad="38100" w14:dist="38100" w14:dir="2700000" w14:sx="100000" w14:sy="100000" w14:kx="0" w14:ky="0" w14:algn="tl">
            <w14:srgbClr w14:val="000000"/>
          </w14:shadow>
        </w:rPr>
        <w:t xml:space="preserve"> </w:t>
      </w:r>
      <w:r w:rsidR="00545FCD" w:rsidRPr="00C44E84">
        <w:t>There is need for similar studies on a national and international basis in future in order to make use of  unused datasets, which could be linked with related datasets for assessing health outcomes</w:t>
      </w:r>
      <w:r w:rsidR="00545FCD" w:rsidRPr="00C44E84">
        <w:t xml:space="preserve"> and also</w:t>
      </w:r>
      <w:r w:rsidR="00545FCD" w:rsidRPr="00545FCD">
        <w:rPr>
          <w:lang w:val="en-US"/>
        </w:rPr>
        <w:t xml:space="preserve"> for better understanding into the toxicology and  mechanisms underlying the associations between air pollution and child health</w:t>
      </w:r>
      <w:r w:rsidR="00545FCD" w:rsidRPr="00C44E84">
        <w:rPr>
          <w:lang w:val="en-US"/>
        </w:rPr>
        <w:t xml:space="preserve"> along with </w:t>
      </w:r>
      <w:r w:rsidR="00545FCD" w:rsidRPr="00545FCD">
        <w:rPr>
          <w:lang w:val="en-US"/>
        </w:rPr>
        <w:t xml:space="preserve">potentially additive interactions between </w:t>
      </w:r>
      <w:r w:rsidR="00545FCD" w:rsidRPr="00C44E84">
        <w:rPr>
          <w:lang w:val="en-US"/>
        </w:rPr>
        <w:t>environmental exposures</w:t>
      </w:r>
      <w:r w:rsidR="00545FCD" w:rsidRPr="00545FCD">
        <w:rPr>
          <w:lang w:val="en-US"/>
        </w:rPr>
        <w:t xml:space="preserve"> including assessment of the long-term effects later in childhood. </w:t>
      </w:r>
    </w:p>
    <w:p w14:paraId="1CC7AB0A" w14:textId="5FA43B9B" w:rsidR="00677CCD" w:rsidRDefault="00677CCD" w:rsidP="00FF5E1A">
      <w:pPr>
        <w:jc w:val="both"/>
      </w:pPr>
    </w:p>
    <w:sectPr w:rsidR="00677CCD" w:rsidSect="00563D8A">
      <w:pgSz w:w="11906" w:h="16838"/>
      <w:pgMar w:top="1009" w:right="936" w:bottom="1009" w:left="93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3B4CD8"/>
    <w:multiLevelType w:val="hybridMultilevel"/>
    <w:tmpl w:val="803045E8"/>
    <w:lvl w:ilvl="0" w:tplc="577CA79E">
      <w:start w:val="1"/>
      <w:numFmt w:val="bullet"/>
      <w:lvlText w:val=""/>
      <w:lvlJc w:val="left"/>
      <w:pPr>
        <w:tabs>
          <w:tab w:val="num" w:pos="720"/>
        </w:tabs>
        <w:ind w:left="720" w:hanging="360"/>
      </w:pPr>
      <w:rPr>
        <w:rFonts w:ascii="Wingdings" w:hAnsi="Wingdings" w:hint="default"/>
      </w:rPr>
    </w:lvl>
    <w:lvl w:ilvl="1" w:tplc="E278DC28" w:tentative="1">
      <w:start w:val="1"/>
      <w:numFmt w:val="bullet"/>
      <w:lvlText w:val=""/>
      <w:lvlJc w:val="left"/>
      <w:pPr>
        <w:tabs>
          <w:tab w:val="num" w:pos="1440"/>
        </w:tabs>
        <w:ind w:left="1440" w:hanging="360"/>
      </w:pPr>
      <w:rPr>
        <w:rFonts w:ascii="Wingdings" w:hAnsi="Wingdings" w:hint="default"/>
      </w:rPr>
    </w:lvl>
    <w:lvl w:ilvl="2" w:tplc="6C9C348E" w:tentative="1">
      <w:start w:val="1"/>
      <w:numFmt w:val="bullet"/>
      <w:lvlText w:val=""/>
      <w:lvlJc w:val="left"/>
      <w:pPr>
        <w:tabs>
          <w:tab w:val="num" w:pos="2160"/>
        </w:tabs>
        <w:ind w:left="2160" w:hanging="360"/>
      </w:pPr>
      <w:rPr>
        <w:rFonts w:ascii="Wingdings" w:hAnsi="Wingdings" w:hint="default"/>
      </w:rPr>
    </w:lvl>
    <w:lvl w:ilvl="3" w:tplc="7D3AAB26" w:tentative="1">
      <w:start w:val="1"/>
      <w:numFmt w:val="bullet"/>
      <w:lvlText w:val=""/>
      <w:lvlJc w:val="left"/>
      <w:pPr>
        <w:tabs>
          <w:tab w:val="num" w:pos="2880"/>
        </w:tabs>
        <w:ind w:left="2880" w:hanging="360"/>
      </w:pPr>
      <w:rPr>
        <w:rFonts w:ascii="Wingdings" w:hAnsi="Wingdings" w:hint="default"/>
      </w:rPr>
    </w:lvl>
    <w:lvl w:ilvl="4" w:tplc="44E0A216" w:tentative="1">
      <w:start w:val="1"/>
      <w:numFmt w:val="bullet"/>
      <w:lvlText w:val=""/>
      <w:lvlJc w:val="left"/>
      <w:pPr>
        <w:tabs>
          <w:tab w:val="num" w:pos="3600"/>
        </w:tabs>
        <w:ind w:left="3600" w:hanging="360"/>
      </w:pPr>
      <w:rPr>
        <w:rFonts w:ascii="Wingdings" w:hAnsi="Wingdings" w:hint="default"/>
      </w:rPr>
    </w:lvl>
    <w:lvl w:ilvl="5" w:tplc="BDDC13FC" w:tentative="1">
      <w:start w:val="1"/>
      <w:numFmt w:val="bullet"/>
      <w:lvlText w:val=""/>
      <w:lvlJc w:val="left"/>
      <w:pPr>
        <w:tabs>
          <w:tab w:val="num" w:pos="4320"/>
        </w:tabs>
        <w:ind w:left="4320" w:hanging="360"/>
      </w:pPr>
      <w:rPr>
        <w:rFonts w:ascii="Wingdings" w:hAnsi="Wingdings" w:hint="default"/>
      </w:rPr>
    </w:lvl>
    <w:lvl w:ilvl="6" w:tplc="2E364ACC" w:tentative="1">
      <w:start w:val="1"/>
      <w:numFmt w:val="bullet"/>
      <w:lvlText w:val=""/>
      <w:lvlJc w:val="left"/>
      <w:pPr>
        <w:tabs>
          <w:tab w:val="num" w:pos="5040"/>
        </w:tabs>
        <w:ind w:left="5040" w:hanging="360"/>
      </w:pPr>
      <w:rPr>
        <w:rFonts w:ascii="Wingdings" w:hAnsi="Wingdings" w:hint="default"/>
      </w:rPr>
    </w:lvl>
    <w:lvl w:ilvl="7" w:tplc="F3A6D890" w:tentative="1">
      <w:start w:val="1"/>
      <w:numFmt w:val="bullet"/>
      <w:lvlText w:val=""/>
      <w:lvlJc w:val="left"/>
      <w:pPr>
        <w:tabs>
          <w:tab w:val="num" w:pos="5760"/>
        </w:tabs>
        <w:ind w:left="5760" w:hanging="360"/>
      </w:pPr>
      <w:rPr>
        <w:rFonts w:ascii="Wingdings" w:hAnsi="Wingdings" w:hint="default"/>
      </w:rPr>
    </w:lvl>
    <w:lvl w:ilvl="8" w:tplc="847E5B6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2224AC"/>
    <w:multiLevelType w:val="hybridMultilevel"/>
    <w:tmpl w:val="44F4B2E4"/>
    <w:lvl w:ilvl="0" w:tplc="630C1852">
      <w:start w:val="1"/>
      <w:numFmt w:val="bullet"/>
      <w:lvlText w:val="•"/>
      <w:lvlJc w:val="left"/>
      <w:pPr>
        <w:tabs>
          <w:tab w:val="num" w:pos="720"/>
        </w:tabs>
        <w:ind w:left="720" w:hanging="360"/>
      </w:pPr>
      <w:rPr>
        <w:rFonts w:ascii="Arial" w:hAnsi="Arial" w:hint="default"/>
      </w:rPr>
    </w:lvl>
    <w:lvl w:ilvl="1" w:tplc="61800122" w:tentative="1">
      <w:start w:val="1"/>
      <w:numFmt w:val="bullet"/>
      <w:lvlText w:val="•"/>
      <w:lvlJc w:val="left"/>
      <w:pPr>
        <w:tabs>
          <w:tab w:val="num" w:pos="1440"/>
        </w:tabs>
        <w:ind w:left="1440" w:hanging="360"/>
      </w:pPr>
      <w:rPr>
        <w:rFonts w:ascii="Arial" w:hAnsi="Arial" w:hint="default"/>
      </w:rPr>
    </w:lvl>
    <w:lvl w:ilvl="2" w:tplc="E036F6FE" w:tentative="1">
      <w:start w:val="1"/>
      <w:numFmt w:val="bullet"/>
      <w:lvlText w:val="•"/>
      <w:lvlJc w:val="left"/>
      <w:pPr>
        <w:tabs>
          <w:tab w:val="num" w:pos="2160"/>
        </w:tabs>
        <w:ind w:left="2160" w:hanging="360"/>
      </w:pPr>
      <w:rPr>
        <w:rFonts w:ascii="Arial" w:hAnsi="Arial" w:hint="default"/>
      </w:rPr>
    </w:lvl>
    <w:lvl w:ilvl="3" w:tplc="3970FC46" w:tentative="1">
      <w:start w:val="1"/>
      <w:numFmt w:val="bullet"/>
      <w:lvlText w:val="•"/>
      <w:lvlJc w:val="left"/>
      <w:pPr>
        <w:tabs>
          <w:tab w:val="num" w:pos="2880"/>
        </w:tabs>
        <w:ind w:left="2880" w:hanging="360"/>
      </w:pPr>
      <w:rPr>
        <w:rFonts w:ascii="Arial" w:hAnsi="Arial" w:hint="default"/>
      </w:rPr>
    </w:lvl>
    <w:lvl w:ilvl="4" w:tplc="8BA0DE84" w:tentative="1">
      <w:start w:val="1"/>
      <w:numFmt w:val="bullet"/>
      <w:lvlText w:val="•"/>
      <w:lvlJc w:val="left"/>
      <w:pPr>
        <w:tabs>
          <w:tab w:val="num" w:pos="3600"/>
        </w:tabs>
        <w:ind w:left="3600" w:hanging="360"/>
      </w:pPr>
      <w:rPr>
        <w:rFonts w:ascii="Arial" w:hAnsi="Arial" w:hint="default"/>
      </w:rPr>
    </w:lvl>
    <w:lvl w:ilvl="5" w:tplc="159C6678" w:tentative="1">
      <w:start w:val="1"/>
      <w:numFmt w:val="bullet"/>
      <w:lvlText w:val="•"/>
      <w:lvlJc w:val="left"/>
      <w:pPr>
        <w:tabs>
          <w:tab w:val="num" w:pos="4320"/>
        </w:tabs>
        <w:ind w:left="4320" w:hanging="360"/>
      </w:pPr>
      <w:rPr>
        <w:rFonts w:ascii="Arial" w:hAnsi="Arial" w:hint="default"/>
      </w:rPr>
    </w:lvl>
    <w:lvl w:ilvl="6" w:tplc="8098E718" w:tentative="1">
      <w:start w:val="1"/>
      <w:numFmt w:val="bullet"/>
      <w:lvlText w:val="•"/>
      <w:lvlJc w:val="left"/>
      <w:pPr>
        <w:tabs>
          <w:tab w:val="num" w:pos="5040"/>
        </w:tabs>
        <w:ind w:left="5040" w:hanging="360"/>
      </w:pPr>
      <w:rPr>
        <w:rFonts w:ascii="Arial" w:hAnsi="Arial" w:hint="default"/>
      </w:rPr>
    </w:lvl>
    <w:lvl w:ilvl="7" w:tplc="2E109E6C" w:tentative="1">
      <w:start w:val="1"/>
      <w:numFmt w:val="bullet"/>
      <w:lvlText w:val="•"/>
      <w:lvlJc w:val="left"/>
      <w:pPr>
        <w:tabs>
          <w:tab w:val="num" w:pos="5760"/>
        </w:tabs>
        <w:ind w:left="5760" w:hanging="360"/>
      </w:pPr>
      <w:rPr>
        <w:rFonts w:ascii="Arial" w:hAnsi="Arial" w:hint="default"/>
      </w:rPr>
    </w:lvl>
    <w:lvl w:ilvl="8" w:tplc="FFAE739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79591136"/>
    <w:multiLevelType w:val="hybridMultilevel"/>
    <w:tmpl w:val="D1AAE0FE"/>
    <w:lvl w:ilvl="0" w:tplc="EB0A778A">
      <w:start w:val="1"/>
      <w:numFmt w:val="bullet"/>
      <w:lvlText w:val=""/>
      <w:lvlJc w:val="left"/>
      <w:pPr>
        <w:tabs>
          <w:tab w:val="num" w:pos="720"/>
        </w:tabs>
        <w:ind w:left="720" w:hanging="360"/>
      </w:pPr>
      <w:rPr>
        <w:rFonts w:ascii="Wingdings" w:hAnsi="Wingdings" w:hint="default"/>
      </w:rPr>
    </w:lvl>
    <w:lvl w:ilvl="1" w:tplc="8826905C" w:tentative="1">
      <w:start w:val="1"/>
      <w:numFmt w:val="bullet"/>
      <w:lvlText w:val=""/>
      <w:lvlJc w:val="left"/>
      <w:pPr>
        <w:tabs>
          <w:tab w:val="num" w:pos="1440"/>
        </w:tabs>
        <w:ind w:left="1440" w:hanging="360"/>
      </w:pPr>
      <w:rPr>
        <w:rFonts w:ascii="Wingdings" w:hAnsi="Wingdings" w:hint="default"/>
      </w:rPr>
    </w:lvl>
    <w:lvl w:ilvl="2" w:tplc="C444DFDE" w:tentative="1">
      <w:start w:val="1"/>
      <w:numFmt w:val="bullet"/>
      <w:lvlText w:val=""/>
      <w:lvlJc w:val="left"/>
      <w:pPr>
        <w:tabs>
          <w:tab w:val="num" w:pos="2160"/>
        </w:tabs>
        <w:ind w:left="2160" w:hanging="360"/>
      </w:pPr>
      <w:rPr>
        <w:rFonts w:ascii="Wingdings" w:hAnsi="Wingdings" w:hint="default"/>
      </w:rPr>
    </w:lvl>
    <w:lvl w:ilvl="3" w:tplc="CB529A80" w:tentative="1">
      <w:start w:val="1"/>
      <w:numFmt w:val="bullet"/>
      <w:lvlText w:val=""/>
      <w:lvlJc w:val="left"/>
      <w:pPr>
        <w:tabs>
          <w:tab w:val="num" w:pos="2880"/>
        </w:tabs>
        <w:ind w:left="2880" w:hanging="360"/>
      </w:pPr>
      <w:rPr>
        <w:rFonts w:ascii="Wingdings" w:hAnsi="Wingdings" w:hint="default"/>
      </w:rPr>
    </w:lvl>
    <w:lvl w:ilvl="4" w:tplc="C19AAEC0" w:tentative="1">
      <w:start w:val="1"/>
      <w:numFmt w:val="bullet"/>
      <w:lvlText w:val=""/>
      <w:lvlJc w:val="left"/>
      <w:pPr>
        <w:tabs>
          <w:tab w:val="num" w:pos="3600"/>
        </w:tabs>
        <w:ind w:left="3600" w:hanging="360"/>
      </w:pPr>
      <w:rPr>
        <w:rFonts w:ascii="Wingdings" w:hAnsi="Wingdings" w:hint="default"/>
      </w:rPr>
    </w:lvl>
    <w:lvl w:ilvl="5" w:tplc="8988A5CC" w:tentative="1">
      <w:start w:val="1"/>
      <w:numFmt w:val="bullet"/>
      <w:lvlText w:val=""/>
      <w:lvlJc w:val="left"/>
      <w:pPr>
        <w:tabs>
          <w:tab w:val="num" w:pos="4320"/>
        </w:tabs>
        <w:ind w:left="4320" w:hanging="360"/>
      </w:pPr>
      <w:rPr>
        <w:rFonts w:ascii="Wingdings" w:hAnsi="Wingdings" w:hint="default"/>
      </w:rPr>
    </w:lvl>
    <w:lvl w:ilvl="6" w:tplc="18A0F410" w:tentative="1">
      <w:start w:val="1"/>
      <w:numFmt w:val="bullet"/>
      <w:lvlText w:val=""/>
      <w:lvlJc w:val="left"/>
      <w:pPr>
        <w:tabs>
          <w:tab w:val="num" w:pos="5040"/>
        </w:tabs>
        <w:ind w:left="5040" w:hanging="360"/>
      </w:pPr>
      <w:rPr>
        <w:rFonts w:ascii="Wingdings" w:hAnsi="Wingdings" w:hint="default"/>
      </w:rPr>
    </w:lvl>
    <w:lvl w:ilvl="7" w:tplc="BDC81CB0" w:tentative="1">
      <w:start w:val="1"/>
      <w:numFmt w:val="bullet"/>
      <w:lvlText w:val=""/>
      <w:lvlJc w:val="left"/>
      <w:pPr>
        <w:tabs>
          <w:tab w:val="num" w:pos="5760"/>
        </w:tabs>
        <w:ind w:left="5760" w:hanging="360"/>
      </w:pPr>
      <w:rPr>
        <w:rFonts w:ascii="Wingdings" w:hAnsi="Wingdings" w:hint="default"/>
      </w:rPr>
    </w:lvl>
    <w:lvl w:ilvl="8" w:tplc="CFA2178C"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8A"/>
    <w:rsid w:val="00003515"/>
    <w:rsid w:val="002D56AA"/>
    <w:rsid w:val="003239FF"/>
    <w:rsid w:val="0040507F"/>
    <w:rsid w:val="00545FCD"/>
    <w:rsid w:val="00563D8A"/>
    <w:rsid w:val="00653225"/>
    <w:rsid w:val="00677CCD"/>
    <w:rsid w:val="0069617C"/>
    <w:rsid w:val="00952C50"/>
    <w:rsid w:val="009C7DC6"/>
    <w:rsid w:val="00AD4A7D"/>
    <w:rsid w:val="00BE5D34"/>
    <w:rsid w:val="00C44E84"/>
    <w:rsid w:val="00FA0549"/>
    <w:rsid w:val="00FE491C"/>
    <w:rsid w:val="00FF5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DB2EE"/>
  <w15:chartTrackingRefBased/>
  <w15:docId w15:val="{0D2A0918-EE64-4984-AA46-79E03E50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5FCD"/>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635354">
      <w:bodyDiv w:val="1"/>
      <w:marLeft w:val="0"/>
      <w:marRight w:val="0"/>
      <w:marTop w:val="0"/>
      <w:marBottom w:val="0"/>
      <w:divBdr>
        <w:top w:val="none" w:sz="0" w:space="0" w:color="auto"/>
        <w:left w:val="none" w:sz="0" w:space="0" w:color="auto"/>
        <w:bottom w:val="none" w:sz="0" w:space="0" w:color="auto"/>
        <w:right w:val="none" w:sz="0" w:space="0" w:color="auto"/>
      </w:divBdr>
    </w:div>
    <w:div w:id="565842351">
      <w:bodyDiv w:val="1"/>
      <w:marLeft w:val="0"/>
      <w:marRight w:val="0"/>
      <w:marTop w:val="0"/>
      <w:marBottom w:val="0"/>
      <w:divBdr>
        <w:top w:val="none" w:sz="0" w:space="0" w:color="auto"/>
        <w:left w:val="none" w:sz="0" w:space="0" w:color="auto"/>
        <w:bottom w:val="none" w:sz="0" w:space="0" w:color="auto"/>
        <w:right w:val="none" w:sz="0" w:space="0" w:color="auto"/>
      </w:divBdr>
      <w:divsChild>
        <w:div w:id="1979216628">
          <w:marLeft w:val="547"/>
          <w:marRight w:val="0"/>
          <w:marTop w:val="0"/>
          <w:marBottom w:val="0"/>
          <w:divBdr>
            <w:top w:val="none" w:sz="0" w:space="0" w:color="auto"/>
            <w:left w:val="none" w:sz="0" w:space="0" w:color="auto"/>
            <w:bottom w:val="none" w:sz="0" w:space="0" w:color="auto"/>
            <w:right w:val="none" w:sz="0" w:space="0" w:color="auto"/>
          </w:divBdr>
        </w:div>
      </w:divsChild>
    </w:div>
    <w:div w:id="877623894">
      <w:bodyDiv w:val="1"/>
      <w:marLeft w:val="0"/>
      <w:marRight w:val="0"/>
      <w:marTop w:val="0"/>
      <w:marBottom w:val="0"/>
      <w:divBdr>
        <w:top w:val="none" w:sz="0" w:space="0" w:color="auto"/>
        <w:left w:val="none" w:sz="0" w:space="0" w:color="auto"/>
        <w:bottom w:val="none" w:sz="0" w:space="0" w:color="auto"/>
        <w:right w:val="none" w:sz="0" w:space="0" w:color="auto"/>
      </w:divBdr>
      <w:divsChild>
        <w:div w:id="178013924">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1539</TotalTime>
  <Pages>1</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2019-11-24T20:44:00Z</cp:lastPrinted>
  <dcterms:created xsi:type="dcterms:W3CDTF">2019-11-24T20:42:00Z</dcterms:created>
  <dcterms:modified xsi:type="dcterms:W3CDTF">2019-11-25T23:55:00Z</dcterms:modified>
</cp:coreProperties>
</file>