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2583" w:rsidRPr="00702583" w:rsidRDefault="00702583" w:rsidP="00702583">
      <w:pPr>
        <w:spacing w:before="47" w:line="400" w:lineRule="exact"/>
        <w:ind w:left="100"/>
        <w:rPr>
          <w:rFonts w:ascii="Minion Pro"/>
          <w:b/>
          <w:color w:val="337AB7"/>
          <w:sz w:val="36"/>
        </w:rPr>
      </w:pPr>
      <w:r w:rsidRPr="00702583">
        <w:rPr>
          <w:rFonts w:ascii="Minion Pro"/>
          <w:b/>
          <w:color w:val="337AB7"/>
          <w:sz w:val="36"/>
        </w:rPr>
        <w:t>Title: Challenges in Assessing Therapeutic Equivalence of Nano-</w:t>
      </w:r>
      <w:proofErr w:type="spellStart"/>
      <w:r w:rsidRPr="00702583">
        <w:rPr>
          <w:rFonts w:ascii="Minion Pro"/>
          <w:b/>
          <w:color w:val="337AB7"/>
          <w:sz w:val="36"/>
        </w:rPr>
        <w:t>Similars</w:t>
      </w:r>
      <w:proofErr w:type="spellEnd"/>
    </w:p>
    <w:p w:rsidR="00702583" w:rsidRPr="00702583" w:rsidRDefault="00702583" w:rsidP="00702583">
      <w:pPr>
        <w:spacing w:before="47" w:line="400" w:lineRule="exact"/>
        <w:ind w:left="100"/>
        <w:rPr>
          <w:rFonts w:ascii="Minion Pro"/>
          <w:b/>
          <w:color w:val="337AB7"/>
          <w:sz w:val="36"/>
        </w:rPr>
      </w:pPr>
    </w:p>
    <w:p w:rsidR="008D5914" w:rsidRDefault="00702583" w:rsidP="008D5914">
      <w:pPr>
        <w:spacing w:after="0" w:line="240" w:lineRule="auto"/>
        <w:ind w:left="102"/>
        <w:rPr>
          <w:rFonts w:ascii="Arial" w:eastAsia="Tw Cen MT" w:hAnsi="Tw Cen MT" w:cs="Tw Cen MT"/>
          <w:sz w:val="18"/>
          <w:szCs w:val="18"/>
        </w:rPr>
      </w:pPr>
      <w:r w:rsidRPr="00702583">
        <w:rPr>
          <w:rFonts w:ascii="Arial" w:eastAsia="Tw Cen MT" w:hAnsi="Tw Cen MT" w:cs="Tw Cen MT"/>
          <w:sz w:val="18"/>
          <w:szCs w:val="18"/>
        </w:rPr>
        <w:t>Dr. Beat Fl</w:t>
      </w:r>
      <w:r w:rsidRPr="00702583">
        <w:rPr>
          <w:rFonts w:ascii="Arial" w:eastAsia="Tw Cen MT" w:hAnsi="Tw Cen MT" w:cs="Tw Cen MT"/>
          <w:sz w:val="18"/>
          <w:szCs w:val="18"/>
        </w:rPr>
        <w:t>ü</w:t>
      </w:r>
      <w:r w:rsidRPr="00702583">
        <w:rPr>
          <w:rFonts w:ascii="Arial" w:eastAsia="Tw Cen MT" w:hAnsi="Tw Cen MT" w:cs="Tw Cen MT"/>
          <w:sz w:val="18"/>
          <w:szCs w:val="18"/>
        </w:rPr>
        <w:t>hmann</w:t>
      </w:r>
      <w:r>
        <w:rPr>
          <w:rFonts w:ascii="Arial" w:eastAsia="Tw Cen MT" w:hAnsi="Tw Cen MT" w:cs="Tw Cen MT"/>
          <w:sz w:val="18"/>
          <w:szCs w:val="18"/>
        </w:rPr>
        <w:t xml:space="preserve"> </w:t>
      </w:r>
      <w:r w:rsidRPr="00702583">
        <w:rPr>
          <w:rFonts w:ascii="Arial" w:eastAsia="Tw Cen MT" w:hAnsi="Tw Cen MT" w:cs="Tw Cen MT"/>
          <w:sz w:val="18"/>
          <w:szCs w:val="18"/>
        </w:rPr>
        <w:t>Director Vifor Pharma Ltd</w:t>
      </w:r>
    </w:p>
    <w:p w:rsidR="00C63514" w:rsidRDefault="00702583" w:rsidP="008D5914">
      <w:pPr>
        <w:spacing w:after="0" w:line="240" w:lineRule="auto"/>
        <w:ind w:left="102"/>
        <w:rPr>
          <w:rFonts w:ascii="Arial"/>
          <w:sz w:val="28"/>
        </w:rPr>
      </w:pPr>
      <w:r w:rsidRPr="00702583">
        <w:rPr>
          <w:rFonts w:ascii="Arial" w:eastAsia="Tw Cen MT" w:hAnsi="Tw Cen MT" w:cs="Tw Cen MT"/>
          <w:sz w:val="18"/>
          <w:szCs w:val="18"/>
        </w:rPr>
        <w:t>Member of the Non-Biological Complex Drugs Working Group steering committee</w:t>
      </w:r>
      <w:r>
        <w:rPr>
          <w:noProof/>
        </w:rPr>
        <w:t xml:space="preserve"> </w:t>
      </w:r>
      <w:r w:rsidR="00C63514"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6EE2A868" wp14:editId="0863A268">
                <wp:simplePos x="0" y="0"/>
                <wp:positionH relativeFrom="page">
                  <wp:posOffset>3853815</wp:posOffset>
                </wp:positionH>
                <wp:positionV relativeFrom="paragraph">
                  <wp:posOffset>244475</wp:posOffset>
                </wp:positionV>
                <wp:extent cx="3251200" cy="0"/>
                <wp:effectExtent l="15240" t="19685" r="19685" b="18415"/>
                <wp:wrapTopAndBottom/>
                <wp:docPr id="10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512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03.45pt,19.25pt" to="559.45pt,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" strokecolor="#004080" strokeweight="2pt">
                <w10:wrap type="topAndBottom" anchorx="page"/>
              </v:line>
            </w:pict>
          </mc:Fallback>
        </mc:AlternateContent>
      </w:r>
    </w:p>
    <w:p w:rsidR="00C63514" w:rsidRDefault="00C63514" w:rsidP="00C63514">
      <w:pPr>
        <w:rPr>
          <w:rFonts w:ascii="Arial"/>
          <w:sz w:val="28"/>
        </w:rPr>
        <w:sectPr w:rsidR="00C63514">
          <w:pgSz w:w="11910" w:h="16840"/>
          <w:pgMar w:top="1740" w:right="580" w:bottom="840" w:left="620" w:header="541" w:footer="642" w:gutter="0"/>
          <w:cols w:space="720"/>
        </w:sectPr>
      </w:pPr>
    </w:p>
    <w:p w:rsidR="00C63514" w:rsidRDefault="00C63514" w:rsidP="00C63514">
      <w:pPr>
        <w:pStyle w:val="Heading3"/>
        <w:spacing w:line="218" w:lineRule="exact"/>
        <w:jc w:val="both"/>
      </w:pPr>
      <w:r>
        <w:rPr>
          <w:color w:val="BF5A14"/>
        </w:rPr>
        <w:lastRenderedPageBreak/>
        <w:t>Abstract</w:t>
      </w:r>
    </w:p>
    <w:p w:rsidR="00702583" w:rsidRPr="00EE2A83" w:rsidRDefault="00702583" w:rsidP="00702583">
      <w:pPr>
        <w:widowControl w:val="0"/>
        <w:autoSpaceDE w:val="0"/>
        <w:autoSpaceDN w:val="0"/>
        <w:adjustRightInd w:val="0"/>
        <w:spacing w:line="200" w:lineRule="exact"/>
        <w:jc w:val="both"/>
        <w:rPr>
          <w:rFonts w:eastAsia="Times New Roman"/>
          <w:bCs/>
          <w:color w:val="181512"/>
          <w:sz w:val="16"/>
          <w:szCs w:val="16"/>
        </w:rPr>
      </w:pPr>
      <w:r>
        <w:rPr>
          <w:rFonts w:eastAsia="Times New Roman"/>
          <w:bCs/>
          <w:noProof/>
          <w:color w:val="181512"/>
          <w:sz w:val="16"/>
          <w:szCs w:val="16"/>
        </w:rPr>
        <w:drawing>
          <wp:anchor distT="0" distB="0" distL="114300" distR="114300" simplePos="0" relativeHeight="251660288" behindDoc="0" locked="0" layoutInCell="1" allowOverlap="1" wp14:anchorId="12F7AC3F" wp14:editId="42979725">
            <wp:simplePos x="0" y="0"/>
            <wp:positionH relativeFrom="margin">
              <wp:posOffset>3460115</wp:posOffset>
            </wp:positionH>
            <wp:positionV relativeFrom="margin">
              <wp:posOffset>2444750</wp:posOffset>
            </wp:positionV>
            <wp:extent cx="829310" cy="990600"/>
            <wp:effectExtent l="0" t="0" r="889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eat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931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/>
          <w:bCs/>
          <w:color w:val="181512"/>
          <w:sz w:val="16"/>
          <w:szCs w:val="16"/>
        </w:rPr>
        <w:t>S</w:t>
      </w:r>
      <w:r w:rsidRPr="00EE2A83">
        <w:rPr>
          <w:rFonts w:eastAsia="Times New Roman"/>
          <w:bCs/>
          <w:color w:val="181512"/>
          <w:sz w:val="16"/>
          <w:szCs w:val="16"/>
        </w:rPr>
        <w:t xml:space="preserve">howing </w:t>
      </w:r>
      <w:r>
        <w:rPr>
          <w:rFonts w:eastAsia="Times New Roman"/>
          <w:bCs/>
          <w:color w:val="181512"/>
          <w:sz w:val="16"/>
          <w:szCs w:val="16"/>
        </w:rPr>
        <w:t xml:space="preserve">therapeutic </w:t>
      </w:r>
      <w:r w:rsidRPr="00EE2A83">
        <w:rPr>
          <w:rFonts w:eastAsia="Times New Roman"/>
          <w:bCs/>
          <w:color w:val="181512"/>
          <w:sz w:val="16"/>
          <w:szCs w:val="16"/>
        </w:rPr>
        <w:t xml:space="preserve">equivalence of </w:t>
      </w:r>
      <w:r>
        <w:rPr>
          <w:rFonts w:eastAsia="Times New Roman"/>
          <w:bCs/>
          <w:color w:val="181512"/>
          <w:sz w:val="16"/>
          <w:szCs w:val="16"/>
        </w:rPr>
        <w:t>nanomedicine</w:t>
      </w:r>
      <w:r w:rsidRPr="00EE2A83">
        <w:rPr>
          <w:rFonts w:eastAsia="Times New Roman"/>
          <w:bCs/>
          <w:color w:val="181512"/>
          <w:sz w:val="16"/>
          <w:szCs w:val="16"/>
        </w:rPr>
        <w:t xml:space="preserve"> </w:t>
      </w:r>
      <w:r>
        <w:rPr>
          <w:rFonts w:eastAsia="Times New Roman"/>
          <w:bCs/>
          <w:color w:val="181512"/>
          <w:sz w:val="16"/>
          <w:szCs w:val="16"/>
        </w:rPr>
        <w:t xml:space="preserve">follow on products </w:t>
      </w:r>
      <w:r w:rsidRPr="00EE2A83">
        <w:rPr>
          <w:rFonts w:eastAsia="Times New Roman"/>
          <w:bCs/>
          <w:color w:val="181512"/>
          <w:sz w:val="16"/>
          <w:szCs w:val="16"/>
        </w:rPr>
        <w:t xml:space="preserve">to a reference drug is like for </w:t>
      </w:r>
      <w:proofErr w:type="spellStart"/>
      <w:r w:rsidRPr="00EE2A83">
        <w:rPr>
          <w:rFonts w:eastAsia="Times New Roman"/>
          <w:bCs/>
          <w:color w:val="181512"/>
          <w:sz w:val="16"/>
          <w:szCs w:val="16"/>
        </w:rPr>
        <w:t>biosimilars</w:t>
      </w:r>
      <w:proofErr w:type="spellEnd"/>
      <w:r w:rsidRPr="00EE2A83">
        <w:rPr>
          <w:rFonts w:eastAsia="Times New Roman"/>
          <w:bCs/>
          <w:color w:val="181512"/>
          <w:sz w:val="16"/>
          <w:szCs w:val="16"/>
        </w:rPr>
        <w:t xml:space="preserve"> more challenging than for low molecular</w:t>
      </w:r>
      <w:r>
        <w:rPr>
          <w:rFonts w:eastAsia="Times New Roman"/>
          <w:bCs/>
          <w:color w:val="181512"/>
          <w:sz w:val="16"/>
          <w:szCs w:val="16"/>
        </w:rPr>
        <w:t xml:space="preserve"> weight</w:t>
      </w:r>
      <w:r w:rsidRPr="00EE2A83">
        <w:rPr>
          <w:rFonts w:eastAsia="Times New Roman"/>
          <w:bCs/>
          <w:color w:val="181512"/>
          <w:sz w:val="16"/>
          <w:szCs w:val="16"/>
        </w:rPr>
        <w:t xml:space="preserve"> drugs. The pharmaco</w:t>
      </w:r>
      <w:r>
        <w:rPr>
          <w:rFonts w:eastAsia="Times New Roman"/>
          <w:bCs/>
          <w:color w:val="181512"/>
          <w:sz w:val="16"/>
          <w:szCs w:val="16"/>
        </w:rPr>
        <w:t>kinet</w:t>
      </w:r>
      <w:r w:rsidRPr="00EE2A83">
        <w:rPr>
          <w:rFonts w:eastAsia="Times New Roman"/>
          <w:bCs/>
          <w:color w:val="181512"/>
          <w:sz w:val="16"/>
          <w:szCs w:val="16"/>
        </w:rPr>
        <w:t xml:space="preserve">ics </w:t>
      </w:r>
      <w:r>
        <w:rPr>
          <w:rFonts w:eastAsia="Times New Roman"/>
          <w:bCs/>
          <w:color w:val="181512"/>
          <w:sz w:val="16"/>
          <w:szCs w:val="16"/>
        </w:rPr>
        <w:t xml:space="preserve">and especially the </w:t>
      </w:r>
      <w:proofErr w:type="spellStart"/>
      <w:r w:rsidRPr="00EE2A83">
        <w:rPr>
          <w:rFonts w:eastAsia="Times New Roman"/>
          <w:bCs/>
          <w:color w:val="181512"/>
          <w:sz w:val="16"/>
          <w:szCs w:val="16"/>
        </w:rPr>
        <w:t>biodistribution</w:t>
      </w:r>
      <w:proofErr w:type="spellEnd"/>
      <w:r w:rsidRPr="00EE2A83">
        <w:rPr>
          <w:rFonts w:eastAsia="Times New Roman"/>
          <w:bCs/>
          <w:color w:val="181512"/>
          <w:sz w:val="16"/>
          <w:szCs w:val="16"/>
        </w:rPr>
        <w:t xml:space="preserve"> </w:t>
      </w:r>
      <w:r>
        <w:rPr>
          <w:rFonts w:eastAsia="Times New Roman"/>
          <w:bCs/>
          <w:color w:val="181512"/>
          <w:sz w:val="16"/>
          <w:szCs w:val="16"/>
        </w:rPr>
        <w:t>can among other parameters depend</w:t>
      </w:r>
      <w:r w:rsidRPr="00EE2A83">
        <w:rPr>
          <w:rFonts w:eastAsia="Times New Roman"/>
          <w:bCs/>
          <w:color w:val="181512"/>
          <w:sz w:val="16"/>
          <w:szCs w:val="16"/>
        </w:rPr>
        <w:t xml:space="preserve"> on the size/size distribution and composition of the nanoparticle, having implications on the efficacy and safety of the drug.</w:t>
      </w:r>
      <w:r>
        <w:rPr>
          <w:rFonts w:eastAsia="Times New Roman"/>
          <w:bCs/>
          <w:color w:val="181512"/>
          <w:sz w:val="16"/>
          <w:szCs w:val="16"/>
        </w:rPr>
        <w:t xml:space="preserve"> Today, the interaction of this nanoparticles with the body is not fully understood and the clinically meaningful physicochemical parameters are only partially identified.</w:t>
      </w:r>
      <w:r w:rsidRPr="00EE2A83">
        <w:rPr>
          <w:rFonts w:eastAsia="Times New Roman"/>
          <w:bCs/>
          <w:color w:val="181512"/>
          <w:sz w:val="16"/>
          <w:szCs w:val="16"/>
        </w:rPr>
        <w:t xml:space="preserve"> </w:t>
      </w:r>
    </w:p>
    <w:p w:rsidR="00702583" w:rsidRPr="00EE2A83" w:rsidRDefault="00702583" w:rsidP="00702583">
      <w:pPr>
        <w:widowControl w:val="0"/>
        <w:autoSpaceDE w:val="0"/>
        <w:autoSpaceDN w:val="0"/>
        <w:adjustRightInd w:val="0"/>
        <w:spacing w:line="200" w:lineRule="exact"/>
        <w:jc w:val="both"/>
        <w:rPr>
          <w:rFonts w:eastAsia="Times New Roman"/>
          <w:bCs/>
          <w:color w:val="181512"/>
          <w:sz w:val="16"/>
          <w:szCs w:val="16"/>
        </w:rPr>
      </w:pPr>
      <w:r w:rsidRPr="00EE2A83">
        <w:rPr>
          <w:rFonts w:eastAsia="Times New Roman"/>
          <w:bCs/>
          <w:color w:val="181512"/>
          <w:sz w:val="16"/>
          <w:szCs w:val="16"/>
        </w:rPr>
        <w:t>In two clinical studies in chronic kidney disease patients depending on hemodialysis</w:t>
      </w:r>
      <w:r>
        <w:rPr>
          <w:rFonts w:eastAsia="Times New Roman"/>
          <w:bCs/>
          <w:color w:val="181512"/>
          <w:sz w:val="16"/>
          <w:szCs w:val="16"/>
        </w:rPr>
        <w:t>,</w:t>
      </w:r>
      <w:r w:rsidRPr="00EE2A83">
        <w:rPr>
          <w:rFonts w:eastAsia="Times New Roman"/>
          <w:bCs/>
          <w:color w:val="181512"/>
          <w:sz w:val="16"/>
          <w:szCs w:val="16"/>
        </w:rPr>
        <w:t xml:space="preserve"> a lack of therapeutic equivalence was demonstrated for the first time for an </w:t>
      </w:r>
      <w:r>
        <w:rPr>
          <w:rFonts w:eastAsia="Times New Roman"/>
          <w:bCs/>
          <w:color w:val="181512"/>
          <w:sz w:val="16"/>
          <w:szCs w:val="16"/>
        </w:rPr>
        <w:t>nanomedicine</w:t>
      </w:r>
      <w:r w:rsidRPr="00EE2A83">
        <w:rPr>
          <w:rFonts w:eastAsia="Times New Roman"/>
          <w:bCs/>
          <w:color w:val="181512"/>
          <w:sz w:val="16"/>
          <w:szCs w:val="16"/>
        </w:rPr>
        <w:t xml:space="preserve">, namely Venofer® (iron sucrose) a </w:t>
      </w:r>
      <w:proofErr w:type="spellStart"/>
      <w:r w:rsidRPr="00EE2A83">
        <w:rPr>
          <w:rFonts w:eastAsia="Times New Roman"/>
          <w:bCs/>
          <w:color w:val="181512"/>
          <w:sz w:val="16"/>
          <w:szCs w:val="16"/>
        </w:rPr>
        <w:t>nanoparticulate</w:t>
      </w:r>
      <w:proofErr w:type="spellEnd"/>
      <w:r w:rsidRPr="00EE2A83">
        <w:rPr>
          <w:rFonts w:eastAsia="Times New Roman"/>
          <w:bCs/>
          <w:color w:val="181512"/>
          <w:sz w:val="16"/>
          <w:szCs w:val="16"/>
        </w:rPr>
        <w:t xml:space="preserve"> iron preparation for iv use, and its follow on products </w:t>
      </w:r>
      <w:r>
        <w:rPr>
          <w:rFonts w:eastAsia="Times New Roman"/>
          <w:bCs/>
          <w:color w:val="181512"/>
          <w:sz w:val="16"/>
          <w:szCs w:val="16"/>
        </w:rPr>
        <w:t xml:space="preserve">-or better called </w:t>
      </w:r>
      <w:r w:rsidRPr="00EE2A83">
        <w:rPr>
          <w:rFonts w:eastAsia="Times New Roman"/>
          <w:bCs/>
          <w:color w:val="181512"/>
          <w:sz w:val="16"/>
          <w:szCs w:val="16"/>
        </w:rPr>
        <w:t xml:space="preserve">iron sucrose </w:t>
      </w:r>
      <w:proofErr w:type="spellStart"/>
      <w:r w:rsidRPr="00EE2A83">
        <w:rPr>
          <w:rFonts w:eastAsia="Times New Roman"/>
          <w:bCs/>
          <w:color w:val="181512"/>
          <w:sz w:val="16"/>
          <w:szCs w:val="16"/>
        </w:rPr>
        <w:t>similars</w:t>
      </w:r>
      <w:proofErr w:type="spellEnd"/>
      <w:r w:rsidRPr="00EE2A83">
        <w:rPr>
          <w:rFonts w:eastAsia="Times New Roman"/>
          <w:bCs/>
          <w:color w:val="181512"/>
          <w:sz w:val="16"/>
          <w:szCs w:val="16"/>
        </w:rPr>
        <w:t xml:space="preserve"> (ISS)</w:t>
      </w:r>
      <w:r>
        <w:rPr>
          <w:rFonts w:eastAsia="Times New Roman"/>
          <w:bCs/>
          <w:color w:val="181512"/>
          <w:sz w:val="16"/>
          <w:szCs w:val="16"/>
        </w:rPr>
        <w:t xml:space="preserve">- </w:t>
      </w:r>
      <w:r w:rsidRPr="00EE2A83">
        <w:rPr>
          <w:rFonts w:eastAsia="Times New Roman"/>
          <w:bCs/>
          <w:color w:val="181512"/>
          <w:sz w:val="16"/>
          <w:szCs w:val="16"/>
        </w:rPr>
        <w:t>approved on a generic pathway</w:t>
      </w:r>
      <w:r>
        <w:rPr>
          <w:rFonts w:eastAsia="Times New Roman"/>
          <w:bCs/>
          <w:color w:val="181512"/>
          <w:sz w:val="16"/>
          <w:szCs w:val="16"/>
        </w:rPr>
        <w:t xml:space="preserve"> in Europe</w:t>
      </w:r>
      <w:r w:rsidRPr="00EE2A83">
        <w:rPr>
          <w:rFonts w:eastAsia="Times New Roman"/>
          <w:bCs/>
          <w:color w:val="181512"/>
          <w:sz w:val="16"/>
          <w:szCs w:val="16"/>
        </w:rPr>
        <w:t xml:space="preserve">. Upon switch from the originator iron sucrose to the </w:t>
      </w:r>
      <w:r>
        <w:rPr>
          <w:rFonts w:eastAsia="Times New Roman"/>
          <w:bCs/>
          <w:color w:val="181512"/>
          <w:sz w:val="16"/>
          <w:szCs w:val="16"/>
        </w:rPr>
        <w:t>ISS</w:t>
      </w:r>
      <w:r w:rsidRPr="00EE2A83">
        <w:rPr>
          <w:rFonts w:eastAsia="Times New Roman"/>
          <w:bCs/>
          <w:color w:val="181512"/>
          <w:sz w:val="16"/>
          <w:szCs w:val="16"/>
        </w:rPr>
        <w:t xml:space="preserve"> a rapid drop in </w:t>
      </w:r>
      <w:proofErr w:type="spellStart"/>
      <w:r w:rsidRPr="00EE2A83">
        <w:rPr>
          <w:rFonts w:eastAsia="Times New Roman"/>
          <w:bCs/>
          <w:color w:val="181512"/>
          <w:sz w:val="16"/>
          <w:szCs w:val="16"/>
        </w:rPr>
        <w:t>Hb</w:t>
      </w:r>
      <w:proofErr w:type="spellEnd"/>
      <w:r w:rsidRPr="00EE2A83">
        <w:rPr>
          <w:rFonts w:eastAsia="Times New Roman"/>
          <w:bCs/>
          <w:color w:val="181512"/>
          <w:sz w:val="16"/>
          <w:szCs w:val="16"/>
        </w:rPr>
        <w:t xml:space="preserve"> level and iron parameters w</w:t>
      </w:r>
      <w:r>
        <w:rPr>
          <w:rFonts w:eastAsia="Times New Roman"/>
          <w:bCs/>
          <w:color w:val="181512"/>
          <w:sz w:val="16"/>
          <w:szCs w:val="16"/>
        </w:rPr>
        <w:t>as</w:t>
      </w:r>
      <w:r w:rsidRPr="00EE2A83">
        <w:rPr>
          <w:rFonts w:eastAsia="Times New Roman"/>
          <w:bCs/>
          <w:color w:val="181512"/>
          <w:sz w:val="16"/>
          <w:szCs w:val="16"/>
        </w:rPr>
        <w:t xml:space="preserve"> observed and higher doses of iv iron as well as ESA was required to stabilize the patient</w:t>
      </w:r>
      <w:r>
        <w:rPr>
          <w:rFonts w:eastAsia="Times New Roman"/>
          <w:bCs/>
          <w:color w:val="181512"/>
          <w:sz w:val="16"/>
          <w:szCs w:val="16"/>
        </w:rPr>
        <w:t>’</w:t>
      </w:r>
      <w:r w:rsidRPr="00EE2A83">
        <w:rPr>
          <w:rFonts w:eastAsia="Times New Roman"/>
          <w:bCs/>
          <w:color w:val="181512"/>
          <w:sz w:val="16"/>
          <w:szCs w:val="16"/>
        </w:rPr>
        <w:t xml:space="preserve">s </w:t>
      </w:r>
      <w:proofErr w:type="spellStart"/>
      <w:r w:rsidRPr="00EE2A83">
        <w:rPr>
          <w:rFonts w:eastAsia="Times New Roman"/>
          <w:bCs/>
          <w:color w:val="181512"/>
          <w:sz w:val="16"/>
          <w:szCs w:val="16"/>
        </w:rPr>
        <w:t>Hb</w:t>
      </w:r>
      <w:proofErr w:type="spellEnd"/>
      <w:r w:rsidRPr="00EE2A83">
        <w:rPr>
          <w:rFonts w:eastAsia="Times New Roman"/>
          <w:bCs/>
          <w:color w:val="181512"/>
          <w:sz w:val="16"/>
          <w:szCs w:val="16"/>
        </w:rPr>
        <w:t xml:space="preserve"> levels. Further clinical reports also showed different safety outcomes such as increased levels of inflammation markers in hemodialysis patients and a significantly higher number of adverse events in gynecology patients. </w:t>
      </w:r>
    </w:p>
    <w:p w:rsidR="00702583" w:rsidRPr="00147F9C" w:rsidRDefault="00702583" w:rsidP="00702583">
      <w:pPr>
        <w:widowControl w:val="0"/>
        <w:autoSpaceDE w:val="0"/>
        <w:autoSpaceDN w:val="0"/>
        <w:adjustRightInd w:val="0"/>
        <w:spacing w:line="200" w:lineRule="exact"/>
        <w:jc w:val="both"/>
        <w:rPr>
          <w:rFonts w:eastAsia="Times New Roman" w:hint="eastAsia"/>
          <w:bCs/>
          <w:color w:val="181512"/>
          <w:sz w:val="16"/>
          <w:szCs w:val="16"/>
        </w:rPr>
      </w:pPr>
      <w:r w:rsidRPr="00EE2A83">
        <w:rPr>
          <w:rFonts w:eastAsia="Times New Roman"/>
          <w:bCs/>
          <w:color w:val="181512"/>
          <w:sz w:val="16"/>
          <w:szCs w:val="16"/>
        </w:rPr>
        <w:t xml:space="preserve">The generic paradigm, lacking the clinical and non-clinical safety and efficacy requirements, is therefore not appropriate to assess </w:t>
      </w:r>
      <w:r>
        <w:rPr>
          <w:rFonts w:eastAsia="Times New Roman"/>
          <w:bCs/>
          <w:color w:val="181512"/>
          <w:sz w:val="16"/>
          <w:szCs w:val="16"/>
        </w:rPr>
        <w:t>nanomedicine</w:t>
      </w:r>
      <w:r w:rsidRPr="00EE2A83">
        <w:rPr>
          <w:rFonts w:eastAsia="Times New Roman"/>
          <w:bCs/>
          <w:color w:val="181512"/>
          <w:sz w:val="16"/>
          <w:szCs w:val="16"/>
        </w:rPr>
        <w:t xml:space="preserve"> follow-ons. Alth</w:t>
      </w:r>
      <w:r>
        <w:rPr>
          <w:rFonts w:eastAsia="Times New Roman"/>
          <w:bCs/>
          <w:color w:val="181512"/>
          <w:sz w:val="16"/>
          <w:szCs w:val="16"/>
        </w:rPr>
        <w:t>ough ISS</w:t>
      </w:r>
      <w:r w:rsidRPr="00EE2A83">
        <w:rPr>
          <w:rFonts w:eastAsia="Times New Roman"/>
          <w:bCs/>
          <w:color w:val="181512"/>
          <w:sz w:val="16"/>
          <w:szCs w:val="16"/>
        </w:rPr>
        <w:t xml:space="preserve"> share the international nonproprietary name </w:t>
      </w:r>
      <w:r>
        <w:rPr>
          <w:rFonts w:eastAsia="Times New Roman"/>
          <w:bCs/>
          <w:color w:val="181512"/>
          <w:sz w:val="16"/>
          <w:szCs w:val="16"/>
        </w:rPr>
        <w:t>with</w:t>
      </w:r>
      <w:r w:rsidRPr="00EE2A83">
        <w:rPr>
          <w:rFonts w:eastAsia="Times New Roman"/>
          <w:bCs/>
          <w:color w:val="181512"/>
          <w:sz w:val="16"/>
          <w:szCs w:val="16"/>
        </w:rPr>
        <w:t xml:space="preserve"> the originator, they can exhibit clinically meaningful differences. Alarmed by these findings, the FDA and EMA have issued draft guidelines and reflection papers that propose a multi-step in vitro, non-clinical and clinical testing to evaluate the extent of similarity as a prerequisite to define the therapeutic position and the interchangeab</w:t>
      </w:r>
      <w:r>
        <w:rPr>
          <w:rFonts w:eastAsia="Times New Roman"/>
          <w:bCs/>
          <w:color w:val="181512"/>
          <w:sz w:val="16"/>
          <w:szCs w:val="16"/>
        </w:rPr>
        <w:t xml:space="preserve">ility or </w:t>
      </w:r>
      <w:proofErr w:type="spellStart"/>
      <w:r>
        <w:rPr>
          <w:rFonts w:eastAsia="Times New Roman"/>
          <w:bCs/>
          <w:color w:val="181512"/>
          <w:sz w:val="16"/>
          <w:szCs w:val="16"/>
        </w:rPr>
        <w:t>switchability</w:t>
      </w:r>
      <w:proofErr w:type="spellEnd"/>
      <w:r>
        <w:rPr>
          <w:rFonts w:eastAsia="Times New Roman"/>
          <w:bCs/>
          <w:color w:val="181512"/>
          <w:sz w:val="16"/>
          <w:szCs w:val="16"/>
        </w:rPr>
        <w:t xml:space="preserve"> of such</w:t>
      </w:r>
      <w:r w:rsidRPr="00EE2A83">
        <w:rPr>
          <w:rFonts w:eastAsia="Times New Roman"/>
          <w:bCs/>
          <w:color w:val="181512"/>
          <w:sz w:val="16"/>
          <w:szCs w:val="16"/>
        </w:rPr>
        <w:t xml:space="preserve"> </w:t>
      </w:r>
      <w:r>
        <w:rPr>
          <w:rFonts w:eastAsia="Times New Roman"/>
          <w:bCs/>
          <w:color w:val="181512"/>
          <w:sz w:val="16"/>
          <w:szCs w:val="16"/>
        </w:rPr>
        <w:t>nanomedicines</w:t>
      </w:r>
      <w:r w:rsidRPr="00147F9C">
        <w:rPr>
          <w:rFonts w:eastAsia="Times New Roman"/>
          <w:bCs/>
          <w:color w:val="181512"/>
          <w:sz w:val="16"/>
          <w:szCs w:val="16"/>
        </w:rPr>
        <w:t>.</w:t>
      </w:r>
    </w:p>
    <w:p w:rsidR="008D5914" w:rsidRDefault="00C63514" w:rsidP="00C63514">
      <w:pPr>
        <w:spacing w:before="63"/>
        <w:ind w:left="1428" w:right="1579"/>
        <w:jc w:val="center"/>
      </w:pPr>
      <w:r>
        <w:br w:type="column"/>
      </w:r>
    </w:p>
    <w:p w:rsidR="008D5914" w:rsidRDefault="008D5914" w:rsidP="00C63514">
      <w:pPr>
        <w:spacing w:before="63"/>
        <w:ind w:left="1428" w:right="1579"/>
        <w:jc w:val="center"/>
      </w:pPr>
    </w:p>
    <w:p w:rsidR="00C63514" w:rsidRDefault="00C63514" w:rsidP="00C63514">
      <w:pPr>
        <w:spacing w:before="63"/>
        <w:ind w:left="1428" w:right="1579"/>
        <w:jc w:val="center"/>
        <w:rPr>
          <w:rFonts w:ascii="Arial"/>
        </w:rPr>
      </w:pPr>
      <w:r>
        <w:rPr>
          <w:rFonts w:ascii="Arial"/>
          <w:color w:val="BF5A14"/>
        </w:rPr>
        <w:t>Biography</w:t>
      </w:r>
    </w:p>
    <w:p w:rsidR="00702583" w:rsidRPr="00147F9C" w:rsidRDefault="00702583" w:rsidP="00702583">
      <w:pPr>
        <w:widowControl w:val="0"/>
        <w:autoSpaceDE w:val="0"/>
        <w:autoSpaceDN w:val="0"/>
        <w:adjustRightInd w:val="0"/>
        <w:spacing w:line="200" w:lineRule="exact"/>
        <w:ind w:right="-1"/>
        <w:jc w:val="both"/>
        <w:rPr>
          <w:rFonts w:hint="eastAsia"/>
          <w:b/>
          <w:szCs w:val="21"/>
          <w:lang w:eastAsia="zh-CN"/>
        </w:rPr>
      </w:pPr>
      <w:commentRangeStart w:id="0"/>
      <w:r w:rsidRPr="00147F9C">
        <w:rPr>
          <w:rFonts w:eastAsia="Times New Roman"/>
          <w:bCs/>
          <w:color w:val="181512"/>
          <w:sz w:val="16"/>
          <w:szCs w:val="16"/>
        </w:rPr>
        <w:t>Dr</w:t>
      </w:r>
      <w:r w:rsidRPr="00147F9C">
        <w:rPr>
          <w:rFonts w:hint="eastAsia"/>
          <w:bCs/>
          <w:color w:val="181512"/>
          <w:sz w:val="16"/>
          <w:szCs w:val="16"/>
          <w:lang w:eastAsia="zh-CN"/>
        </w:rPr>
        <w:t>.</w:t>
      </w:r>
      <w:r w:rsidRPr="00147F9C">
        <w:rPr>
          <w:rFonts w:eastAsia="Times New Roman"/>
          <w:bCs/>
          <w:color w:val="181512"/>
          <w:sz w:val="16"/>
          <w:szCs w:val="16"/>
        </w:rPr>
        <w:t xml:space="preserve"> </w:t>
      </w:r>
      <w:r>
        <w:rPr>
          <w:rFonts w:eastAsia="Times New Roman"/>
          <w:bCs/>
          <w:color w:val="181512"/>
          <w:sz w:val="16"/>
          <w:szCs w:val="16"/>
        </w:rPr>
        <w:t>Beat Flühmann</w:t>
      </w:r>
      <w:r w:rsidRPr="00147F9C">
        <w:rPr>
          <w:rFonts w:eastAsia="Times New Roman"/>
          <w:bCs/>
          <w:color w:val="181512"/>
          <w:sz w:val="16"/>
          <w:szCs w:val="16"/>
        </w:rPr>
        <w:t xml:space="preserve"> </w:t>
      </w:r>
      <w:r>
        <w:rPr>
          <w:rFonts w:eastAsia="Times New Roman"/>
          <w:bCs/>
          <w:color w:val="181512"/>
          <w:sz w:val="16"/>
          <w:szCs w:val="16"/>
        </w:rPr>
        <w:t>Pharmacist,</w:t>
      </w:r>
      <w:r w:rsidRPr="00147F9C">
        <w:rPr>
          <w:rFonts w:eastAsia="Times New Roman"/>
          <w:bCs/>
          <w:color w:val="181512"/>
          <w:sz w:val="16"/>
          <w:szCs w:val="16"/>
        </w:rPr>
        <w:t xml:space="preserve"> </w:t>
      </w:r>
      <w:r>
        <w:rPr>
          <w:rFonts w:eastAsia="Times New Roman"/>
          <w:bCs/>
          <w:color w:val="181512"/>
          <w:sz w:val="16"/>
          <w:szCs w:val="16"/>
        </w:rPr>
        <w:t>MBA</w:t>
      </w:r>
      <w:r w:rsidRPr="00147F9C">
        <w:rPr>
          <w:rFonts w:eastAsia="Times New Roman"/>
          <w:bCs/>
          <w:color w:val="181512"/>
          <w:sz w:val="16"/>
          <w:szCs w:val="16"/>
        </w:rPr>
        <w:t xml:space="preserve"> (Ph</w:t>
      </w:r>
      <w:r w:rsidRPr="00147F9C">
        <w:rPr>
          <w:rFonts w:hint="eastAsia"/>
          <w:bCs/>
          <w:color w:val="181512"/>
          <w:sz w:val="16"/>
          <w:szCs w:val="16"/>
          <w:lang w:eastAsia="zh-CN"/>
        </w:rPr>
        <w:t>.</w:t>
      </w:r>
      <w:r w:rsidRPr="00147F9C">
        <w:rPr>
          <w:rFonts w:eastAsia="Times New Roman"/>
          <w:bCs/>
          <w:color w:val="181512"/>
          <w:sz w:val="16"/>
          <w:szCs w:val="16"/>
        </w:rPr>
        <w:t>D</w:t>
      </w:r>
      <w:r w:rsidRPr="00147F9C">
        <w:rPr>
          <w:rFonts w:hint="eastAsia"/>
          <w:bCs/>
          <w:color w:val="181512"/>
          <w:sz w:val="16"/>
          <w:szCs w:val="16"/>
          <w:lang w:eastAsia="zh-CN"/>
        </w:rPr>
        <w:t>.</w:t>
      </w:r>
      <w:r w:rsidRPr="00147F9C">
        <w:rPr>
          <w:rFonts w:eastAsia="Times New Roman"/>
          <w:bCs/>
          <w:color w:val="181512"/>
          <w:sz w:val="16"/>
          <w:szCs w:val="16"/>
        </w:rPr>
        <w:t>-</w:t>
      </w:r>
      <w:r>
        <w:rPr>
          <w:rFonts w:eastAsia="Times New Roman"/>
          <w:bCs/>
          <w:color w:val="181512"/>
          <w:sz w:val="16"/>
          <w:szCs w:val="16"/>
        </w:rPr>
        <w:t>molecular biology</w:t>
      </w:r>
      <w:r w:rsidRPr="00147F9C">
        <w:rPr>
          <w:rFonts w:eastAsia="Times New Roman"/>
          <w:bCs/>
          <w:color w:val="181512"/>
          <w:sz w:val="16"/>
          <w:szCs w:val="16"/>
        </w:rPr>
        <w:t>)</w:t>
      </w:r>
      <w:r>
        <w:rPr>
          <w:rFonts w:eastAsia="Times New Roman"/>
          <w:bCs/>
          <w:color w:val="181512"/>
          <w:sz w:val="16"/>
          <w:szCs w:val="16"/>
        </w:rPr>
        <w:t xml:space="preserve"> </w:t>
      </w:r>
      <w:r w:rsidRPr="00147F9C">
        <w:rPr>
          <w:rFonts w:eastAsia="Times New Roman" w:hint="eastAsia"/>
          <w:bCs/>
          <w:color w:val="181512"/>
          <w:sz w:val="16"/>
          <w:szCs w:val="16"/>
        </w:rPr>
        <w:t xml:space="preserve">now is </w:t>
      </w:r>
      <w:r>
        <w:rPr>
          <w:rFonts w:eastAsia="Times New Roman"/>
          <w:bCs/>
          <w:color w:val="181512"/>
          <w:sz w:val="16"/>
          <w:szCs w:val="16"/>
        </w:rPr>
        <w:t xml:space="preserve">Director of Vifor Pharma and </w:t>
      </w:r>
      <w:r w:rsidRPr="002577FA">
        <w:rPr>
          <w:rFonts w:eastAsia="Times New Roman"/>
          <w:bCs/>
          <w:color w:val="181512"/>
          <w:sz w:val="16"/>
          <w:szCs w:val="16"/>
        </w:rPr>
        <w:t>Steering committee member of the Non-Biological Complex Drugs Working Group</w:t>
      </w:r>
      <w:r>
        <w:rPr>
          <w:rFonts w:eastAsia="Times New Roman"/>
          <w:bCs/>
          <w:color w:val="181512"/>
          <w:sz w:val="16"/>
          <w:szCs w:val="16"/>
        </w:rPr>
        <w:t xml:space="preserve"> hosted at </w:t>
      </w:r>
      <w:proofErr w:type="spellStart"/>
      <w:r>
        <w:rPr>
          <w:rFonts w:eastAsia="Times New Roman"/>
          <w:bCs/>
          <w:color w:val="181512"/>
          <w:sz w:val="16"/>
          <w:szCs w:val="16"/>
        </w:rPr>
        <w:t>Lygature</w:t>
      </w:r>
      <w:proofErr w:type="spellEnd"/>
      <w:r>
        <w:rPr>
          <w:rFonts w:eastAsia="Times New Roman"/>
          <w:bCs/>
          <w:color w:val="181512"/>
          <w:sz w:val="16"/>
          <w:szCs w:val="16"/>
        </w:rPr>
        <w:t xml:space="preserve"> a non for profit organization. </w:t>
      </w:r>
      <w:proofErr w:type="spellStart"/>
      <w:r>
        <w:rPr>
          <w:rFonts w:eastAsia="Times New Roman"/>
          <w:bCs/>
          <w:color w:val="181512"/>
          <w:sz w:val="16"/>
          <w:szCs w:val="16"/>
        </w:rPr>
        <w:t>Dr</w:t>
      </w:r>
      <w:proofErr w:type="spellEnd"/>
      <w:r>
        <w:rPr>
          <w:rFonts w:eastAsia="Times New Roman"/>
          <w:bCs/>
          <w:color w:val="181512"/>
          <w:sz w:val="16"/>
          <w:szCs w:val="16"/>
        </w:rPr>
        <w:t xml:space="preserve"> </w:t>
      </w:r>
      <w:proofErr w:type="spellStart"/>
      <w:r>
        <w:rPr>
          <w:rFonts w:eastAsia="Times New Roman"/>
          <w:bCs/>
          <w:color w:val="181512"/>
          <w:sz w:val="16"/>
          <w:szCs w:val="16"/>
        </w:rPr>
        <w:t>Flühmann’s</w:t>
      </w:r>
      <w:proofErr w:type="spellEnd"/>
      <w:r>
        <w:rPr>
          <w:rFonts w:eastAsia="Times New Roman"/>
          <w:bCs/>
          <w:color w:val="181512"/>
          <w:sz w:val="16"/>
          <w:szCs w:val="16"/>
        </w:rPr>
        <w:t xml:space="preserve"> current main interest is in regulatory science aspects of nanomedicines. Before that Dr. Flühmann was working at Hoffman La Roche R&amp;D in the area of diabetes and lipid metabolism</w:t>
      </w:r>
      <w:r>
        <w:rPr>
          <w:rFonts w:hint="eastAsia"/>
          <w:bCs/>
          <w:color w:val="181512"/>
          <w:sz w:val="16"/>
          <w:szCs w:val="16"/>
          <w:lang w:eastAsia="zh-CN"/>
        </w:rPr>
        <w:t>.</w:t>
      </w:r>
      <w:commentRangeEnd w:id="0"/>
      <w:r>
        <w:rPr>
          <w:rStyle w:val="CommentReference"/>
        </w:rPr>
        <w:commentReference w:id="0"/>
      </w:r>
    </w:p>
    <w:p w:rsidR="00C63514" w:rsidRDefault="00702583" w:rsidP="008D5914">
      <w:pPr>
        <w:spacing w:line="200" w:lineRule="exact"/>
        <w:jc w:val="both"/>
        <w:rPr>
          <w:rFonts w:ascii="Arial"/>
          <w:sz w:val="14"/>
        </w:rPr>
      </w:pPr>
      <w:r>
        <w:rPr>
          <w:rStyle w:val="CommentReference"/>
        </w:rPr>
        <w:commentReference w:id="1"/>
      </w:r>
      <w:r w:rsidR="00C63514">
        <w:rPr>
          <w:rFonts w:ascii="Arial"/>
          <w:sz w:val="14"/>
        </w:rPr>
        <w:t>.</w:t>
      </w:r>
    </w:p>
    <w:p w:rsidR="00C63514" w:rsidRDefault="00C63514" w:rsidP="00C63514">
      <w:pPr>
        <w:spacing w:before="62"/>
        <w:ind w:left="1428" w:right="1579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8" w:history="1">
        <w:r w:rsidR="00702583" w:rsidRPr="00A338E9">
          <w:rPr>
            <w:rStyle w:val="Hyperlink"/>
            <w:rFonts w:ascii="Arial"/>
            <w:sz w:val="14"/>
          </w:rPr>
          <w:t>beat.fluehmann@viforpharma.com</w:t>
        </w:r>
      </w:hyperlink>
    </w:p>
    <w:p w:rsidR="00C63514" w:rsidRDefault="00C63514" w:rsidP="00C63514">
      <w:pPr>
        <w:jc w:val="center"/>
        <w:rPr>
          <w:rFonts w:ascii="Arial"/>
          <w:sz w:val="14"/>
        </w:rPr>
        <w:sectPr w:rsidR="00C63514">
          <w:type w:val="continuous"/>
          <w:pgSz w:w="11910" w:h="16840"/>
          <w:pgMar w:top="1740" w:right="580" w:bottom="840" w:left="620" w:header="720" w:footer="720" w:gutter="0"/>
          <w:cols w:num="2" w:space="720" w:equalWidth="0">
            <w:col w:w="5214" w:space="252"/>
            <w:col w:w="5244"/>
          </w:cols>
        </w:sectPr>
      </w:pPr>
      <w:bookmarkStart w:id="2" w:name="_GoBack"/>
      <w:bookmarkEnd w:id="2"/>
    </w:p>
    <w:p w:rsidR="00C63514" w:rsidRDefault="00C63514" w:rsidP="00C63514">
      <w:pPr>
        <w:pStyle w:val="BodyText"/>
        <w:spacing w:before="5"/>
        <w:rPr>
          <w:sz w:val="17"/>
        </w:rPr>
      </w:pPr>
    </w:p>
    <w:p w:rsidR="00C63514" w:rsidRPr="00702583" w:rsidRDefault="008D5914" w:rsidP="00C63514">
      <w:pPr>
        <w:pStyle w:val="Heading3"/>
        <w:jc w:val="both"/>
        <w:rPr>
          <w:lang w:val="fr-CH"/>
        </w:rPr>
      </w:pPr>
      <w:r>
        <w:rPr>
          <w:noProof/>
          <w:color w:val="BF5A14"/>
        </w:rPr>
        <w:drawing>
          <wp:inline distT="0" distB="0" distL="0" distR="0" wp14:anchorId="3F916394">
            <wp:extent cx="2967467" cy="1427018"/>
            <wp:effectExtent l="0" t="0" r="0" b="190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8835" cy="14276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63514" w:rsidRPr="00702583">
        <w:rPr>
          <w:color w:val="BF5A14"/>
          <w:lang w:val="fr-CH"/>
        </w:rPr>
        <w:t>Image</w:t>
      </w:r>
    </w:p>
    <w:p w:rsidR="00C63514" w:rsidRPr="00702583" w:rsidRDefault="00C63514" w:rsidP="00C63514">
      <w:pPr>
        <w:pStyle w:val="BodyText"/>
        <w:spacing w:before="1"/>
        <w:rPr>
          <w:rFonts w:ascii="Arial"/>
          <w:b/>
          <w:sz w:val="9"/>
          <w:lang w:val="fr-CH"/>
        </w:rPr>
      </w:pPr>
    </w:p>
    <w:p w:rsidR="00C63514" w:rsidRPr="00702583" w:rsidRDefault="00C63514" w:rsidP="00C63514">
      <w:pPr>
        <w:pStyle w:val="BodyText"/>
        <w:rPr>
          <w:rFonts w:ascii="Arial"/>
          <w:b/>
          <w:sz w:val="20"/>
          <w:lang w:val="fr-CH"/>
        </w:rPr>
      </w:pPr>
    </w:p>
    <w:p w:rsidR="00C63514" w:rsidRPr="00702583" w:rsidRDefault="00C63514" w:rsidP="00C63514">
      <w:pPr>
        <w:pStyle w:val="BodyText"/>
        <w:spacing w:before="8"/>
        <w:rPr>
          <w:rFonts w:ascii="Arial"/>
          <w:b/>
          <w:sz w:val="26"/>
          <w:lang w:val="fr-CH"/>
        </w:rPr>
      </w:pPr>
    </w:p>
    <w:p w:rsidR="00C63514" w:rsidRPr="00702583" w:rsidRDefault="00C63514" w:rsidP="00C63514">
      <w:pPr>
        <w:ind w:left="100"/>
        <w:jc w:val="both"/>
        <w:rPr>
          <w:rFonts w:ascii="Minion Pro"/>
          <w:b/>
          <w:sz w:val="20"/>
          <w:lang w:val="fr-CH"/>
        </w:rPr>
      </w:pPr>
      <w:r w:rsidRPr="00702583">
        <w:rPr>
          <w:rFonts w:ascii="Minion Pro"/>
          <w:b/>
          <w:sz w:val="20"/>
          <w:lang w:val="fr-CH"/>
        </w:rPr>
        <w:t>Notes/</w:t>
      </w:r>
      <w:proofErr w:type="spellStart"/>
      <w:r w:rsidRPr="00702583">
        <w:rPr>
          <w:rFonts w:ascii="Minion Pro"/>
          <w:b/>
          <w:sz w:val="20"/>
          <w:lang w:val="fr-CH"/>
        </w:rPr>
        <w:t>Comments</w:t>
      </w:r>
      <w:proofErr w:type="spellEnd"/>
      <w:r w:rsidRPr="00702583">
        <w:rPr>
          <w:rFonts w:ascii="Minion Pro"/>
          <w:b/>
          <w:sz w:val="20"/>
          <w:lang w:val="fr-CH"/>
        </w:rPr>
        <w:t>:</w:t>
      </w:r>
    </w:p>
    <w:p w:rsidR="00C63514" w:rsidRPr="00702583" w:rsidRDefault="00C63514" w:rsidP="00C63514">
      <w:pPr>
        <w:spacing w:line="204" w:lineRule="exact"/>
        <w:rPr>
          <w:rFonts w:ascii="Arial"/>
          <w:b/>
          <w:sz w:val="20"/>
          <w:lang w:val="fr-CH"/>
        </w:rPr>
      </w:pPr>
      <w:proofErr w:type="spellStart"/>
      <w:r w:rsidRPr="00702583">
        <w:rPr>
          <w:rFonts w:ascii="Arial"/>
          <w:b/>
          <w:color w:val="BF5A14"/>
          <w:sz w:val="20"/>
          <w:lang w:val="fr-CH"/>
        </w:rPr>
        <w:t>Recent</w:t>
      </w:r>
      <w:proofErr w:type="spellEnd"/>
      <w:r w:rsidRPr="00702583">
        <w:rPr>
          <w:rFonts w:ascii="Arial"/>
          <w:b/>
          <w:color w:val="BF5A14"/>
          <w:sz w:val="20"/>
          <w:lang w:val="fr-CH"/>
        </w:rPr>
        <w:t xml:space="preserve"> Publications (minimum 5)</w:t>
      </w:r>
    </w:p>
    <w:p w:rsidR="008D5914" w:rsidRPr="008D5914" w:rsidRDefault="008D5914" w:rsidP="008D5914">
      <w:pPr>
        <w:pStyle w:val="ListParagraph"/>
        <w:numPr>
          <w:ilvl w:val="0"/>
          <w:numId w:val="1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proofErr w:type="spellStart"/>
      <w:r w:rsidRPr="008D5914">
        <w:rPr>
          <w:sz w:val="18"/>
        </w:rPr>
        <w:t>Knoeff</w:t>
      </w:r>
      <w:proofErr w:type="spellEnd"/>
      <w:r w:rsidRPr="008D5914">
        <w:rPr>
          <w:sz w:val="18"/>
        </w:rPr>
        <w:t xml:space="preserve"> J., Mühlebach S., Flühmann B., Medication practice in hospitals: are </w:t>
      </w:r>
      <w:proofErr w:type="spellStart"/>
      <w:r w:rsidRPr="008D5914">
        <w:rPr>
          <w:sz w:val="18"/>
        </w:rPr>
        <w:t>nanosimilars</w:t>
      </w:r>
      <w:proofErr w:type="spellEnd"/>
      <w:r w:rsidRPr="008D5914">
        <w:rPr>
          <w:sz w:val="18"/>
        </w:rPr>
        <w:t xml:space="preserve"> evaluated and substituted correctly? (</w:t>
      </w:r>
      <w:proofErr w:type="spellStart"/>
      <w:r w:rsidRPr="008D5914">
        <w:rPr>
          <w:sz w:val="18"/>
        </w:rPr>
        <w:t>EJHP</w:t>
      </w:r>
      <w:proofErr w:type="spellEnd"/>
      <w:r w:rsidRPr="008D5914">
        <w:rPr>
          <w:sz w:val="18"/>
        </w:rPr>
        <w:t xml:space="preserve"> in print)</w:t>
      </w:r>
    </w:p>
    <w:p w:rsidR="008D5914" w:rsidRPr="008D5914" w:rsidRDefault="008D5914" w:rsidP="008D5914">
      <w:pPr>
        <w:pStyle w:val="ListParagraph"/>
        <w:numPr>
          <w:ilvl w:val="0"/>
          <w:numId w:val="1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proofErr w:type="spellStart"/>
      <w:r w:rsidRPr="008D5914">
        <w:rPr>
          <w:sz w:val="18"/>
        </w:rPr>
        <w:t>Daan</w:t>
      </w:r>
      <w:proofErr w:type="spellEnd"/>
      <w:r w:rsidRPr="008D5914">
        <w:rPr>
          <w:sz w:val="18"/>
        </w:rPr>
        <w:t xml:space="preserve"> J </w:t>
      </w:r>
      <w:proofErr w:type="spellStart"/>
      <w:r w:rsidRPr="008D5914">
        <w:rPr>
          <w:sz w:val="18"/>
        </w:rPr>
        <w:t>Crommelin</w:t>
      </w:r>
      <w:proofErr w:type="spellEnd"/>
      <w:r w:rsidRPr="008D5914">
        <w:rPr>
          <w:sz w:val="18"/>
        </w:rPr>
        <w:t xml:space="preserve">, Vinod P Shah, Imre Klebovich, Scott E McNeil, Vera Weinstein, Beat Flühmann, Stefan Mühlebach, Jon de </w:t>
      </w:r>
      <w:proofErr w:type="spellStart"/>
      <w:r w:rsidRPr="008D5914">
        <w:rPr>
          <w:sz w:val="18"/>
        </w:rPr>
        <w:t>Vlieger</w:t>
      </w:r>
      <w:proofErr w:type="spellEnd"/>
      <w:r w:rsidRPr="008D5914">
        <w:rPr>
          <w:sz w:val="18"/>
        </w:rPr>
        <w:t xml:space="preserve">. The similarity question for biologicals and non-biological complex drugs  </w:t>
      </w:r>
      <w:proofErr w:type="spellStart"/>
      <w:r w:rsidRPr="008D5914">
        <w:rPr>
          <w:sz w:val="18"/>
        </w:rPr>
        <w:t>Eur</w:t>
      </w:r>
      <w:proofErr w:type="spellEnd"/>
      <w:r w:rsidRPr="008D5914">
        <w:rPr>
          <w:sz w:val="18"/>
        </w:rPr>
        <w:t xml:space="preserve"> J Pharm Sci. 2015;23:76:10-17</w:t>
      </w:r>
    </w:p>
    <w:p w:rsidR="008D5914" w:rsidRPr="008D5914" w:rsidRDefault="008D5914" w:rsidP="008D5914">
      <w:pPr>
        <w:pStyle w:val="ListParagraph"/>
        <w:numPr>
          <w:ilvl w:val="0"/>
          <w:numId w:val="1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proofErr w:type="spellStart"/>
      <w:r w:rsidRPr="008D5914">
        <w:rPr>
          <w:sz w:val="18"/>
        </w:rPr>
        <w:lastRenderedPageBreak/>
        <w:t>Walson</w:t>
      </w:r>
      <w:proofErr w:type="spellEnd"/>
      <w:r w:rsidRPr="008D5914">
        <w:rPr>
          <w:sz w:val="18"/>
        </w:rPr>
        <w:t xml:space="preserve"> Ph., </w:t>
      </w:r>
      <w:proofErr w:type="spellStart"/>
      <w:r w:rsidRPr="008D5914">
        <w:rPr>
          <w:sz w:val="18"/>
        </w:rPr>
        <w:t>Mühebach</w:t>
      </w:r>
      <w:proofErr w:type="spellEnd"/>
      <w:r w:rsidRPr="008D5914">
        <w:rPr>
          <w:sz w:val="18"/>
        </w:rPr>
        <w:t xml:space="preserve"> S., Flühmann B. First Asia-Pacific Educational Workshop on non-biological complex drugs (NBCDs), Kuala Lumpur, Malaysia, 8 October 2013 </w:t>
      </w:r>
      <w:proofErr w:type="spellStart"/>
      <w:r w:rsidRPr="008D5914">
        <w:rPr>
          <w:sz w:val="18"/>
        </w:rPr>
        <w:t>GaBI</w:t>
      </w:r>
      <w:proofErr w:type="spellEnd"/>
      <w:r w:rsidRPr="008D5914">
        <w:rPr>
          <w:sz w:val="18"/>
        </w:rPr>
        <w:t xml:space="preserve"> Journal. 2014. 10/2014; 3(1).</w:t>
      </w:r>
    </w:p>
    <w:p w:rsidR="008D5914" w:rsidRPr="008D5914" w:rsidRDefault="008D5914" w:rsidP="008D5914">
      <w:pPr>
        <w:pStyle w:val="ListParagraph"/>
        <w:numPr>
          <w:ilvl w:val="0"/>
          <w:numId w:val="1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proofErr w:type="spellStart"/>
      <w:r w:rsidRPr="008D5914">
        <w:rPr>
          <w:sz w:val="18"/>
        </w:rPr>
        <w:t>Huub</w:t>
      </w:r>
      <w:proofErr w:type="spellEnd"/>
      <w:r w:rsidRPr="008D5914">
        <w:rPr>
          <w:sz w:val="18"/>
        </w:rPr>
        <w:t xml:space="preserve"> </w:t>
      </w:r>
      <w:proofErr w:type="spellStart"/>
      <w:r w:rsidRPr="008D5914">
        <w:rPr>
          <w:sz w:val="18"/>
        </w:rPr>
        <w:t>Schellekens</w:t>
      </w:r>
      <w:proofErr w:type="spellEnd"/>
      <w:r w:rsidRPr="008D5914">
        <w:rPr>
          <w:sz w:val="18"/>
        </w:rPr>
        <w:t xml:space="preserve">, Sven </w:t>
      </w:r>
      <w:proofErr w:type="spellStart"/>
      <w:r w:rsidRPr="008D5914">
        <w:rPr>
          <w:sz w:val="18"/>
        </w:rPr>
        <w:t>Stegemann</w:t>
      </w:r>
      <w:proofErr w:type="spellEnd"/>
      <w:r w:rsidRPr="008D5914">
        <w:rPr>
          <w:sz w:val="18"/>
        </w:rPr>
        <w:t xml:space="preserve">, Vera Weinstein, Jon </w:t>
      </w:r>
      <w:proofErr w:type="spellStart"/>
      <w:r w:rsidRPr="008D5914">
        <w:rPr>
          <w:sz w:val="18"/>
        </w:rPr>
        <w:t>S.B</w:t>
      </w:r>
      <w:proofErr w:type="spellEnd"/>
      <w:r w:rsidRPr="008D5914">
        <w:rPr>
          <w:sz w:val="18"/>
        </w:rPr>
        <w:t xml:space="preserve">. de </w:t>
      </w:r>
      <w:proofErr w:type="spellStart"/>
      <w:r w:rsidRPr="008D5914">
        <w:rPr>
          <w:sz w:val="18"/>
        </w:rPr>
        <w:t>Vlieger</w:t>
      </w:r>
      <w:proofErr w:type="spellEnd"/>
      <w:r w:rsidRPr="008D5914">
        <w:rPr>
          <w:sz w:val="18"/>
        </w:rPr>
        <w:t xml:space="preserve">, Beat Flühmann, Stefan Mühlebach, </w:t>
      </w:r>
      <w:proofErr w:type="spellStart"/>
      <w:r w:rsidRPr="008D5914">
        <w:rPr>
          <w:sz w:val="18"/>
        </w:rPr>
        <w:t>Rogério</w:t>
      </w:r>
      <w:proofErr w:type="spellEnd"/>
      <w:r w:rsidRPr="008D5914">
        <w:rPr>
          <w:sz w:val="18"/>
        </w:rPr>
        <w:t xml:space="preserve"> Gaspar, Vinod P. Shah and </w:t>
      </w:r>
      <w:proofErr w:type="spellStart"/>
      <w:r w:rsidRPr="008D5914">
        <w:rPr>
          <w:sz w:val="18"/>
        </w:rPr>
        <w:t>Daan</w:t>
      </w:r>
      <w:proofErr w:type="spellEnd"/>
      <w:r w:rsidRPr="008D5914">
        <w:rPr>
          <w:sz w:val="18"/>
        </w:rPr>
        <w:t xml:space="preserve"> J.A. </w:t>
      </w:r>
      <w:proofErr w:type="spellStart"/>
      <w:r w:rsidRPr="008D5914">
        <w:rPr>
          <w:sz w:val="18"/>
        </w:rPr>
        <w:t>Crommelin</w:t>
      </w:r>
      <w:proofErr w:type="spellEnd"/>
      <w:r w:rsidRPr="008D5914">
        <w:rPr>
          <w:sz w:val="18"/>
        </w:rPr>
        <w:t xml:space="preserve"> How to regulate Non‐Biological Complex Drugs  (NBCD) and their follow‐on versions: Points to Consider AAPS Journal 2014 Jan;16(1):15-21</w:t>
      </w:r>
    </w:p>
    <w:p w:rsidR="008D5914" w:rsidRPr="008D5914" w:rsidRDefault="008D5914" w:rsidP="008D5914">
      <w:pPr>
        <w:pStyle w:val="ListParagraph"/>
        <w:numPr>
          <w:ilvl w:val="0"/>
          <w:numId w:val="1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8D5914">
        <w:rPr>
          <w:sz w:val="18"/>
        </w:rPr>
        <w:t xml:space="preserve">Flühmann B., </w:t>
      </w:r>
      <w:proofErr w:type="spellStart"/>
      <w:r w:rsidRPr="008D5914">
        <w:rPr>
          <w:sz w:val="18"/>
        </w:rPr>
        <w:t>Vulto</w:t>
      </w:r>
      <w:proofErr w:type="spellEnd"/>
      <w:r w:rsidRPr="008D5914">
        <w:rPr>
          <w:sz w:val="18"/>
        </w:rPr>
        <w:t xml:space="preserve"> A., Mühlebach S., Weinstein V., Shah V. The authorization of non-biological complex drugs (NBCDs) follow-on versions: specific regulatory and interchangeability rules ahead? </w:t>
      </w:r>
      <w:proofErr w:type="spellStart"/>
      <w:r w:rsidRPr="008D5914">
        <w:rPr>
          <w:sz w:val="18"/>
        </w:rPr>
        <w:t>GaBI</w:t>
      </w:r>
      <w:proofErr w:type="spellEnd"/>
      <w:r w:rsidRPr="008D5914">
        <w:rPr>
          <w:sz w:val="18"/>
        </w:rPr>
        <w:t xml:space="preserve"> Journal. 2013;2(4):204-7</w:t>
      </w:r>
    </w:p>
    <w:p w:rsidR="008D5914" w:rsidRPr="008D5914" w:rsidRDefault="008D5914" w:rsidP="008D5914">
      <w:pPr>
        <w:pStyle w:val="ListParagraph"/>
        <w:numPr>
          <w:ilvl w:val="0"/>
          <w:numId w:val="1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proofErr w:type="spellStart"/>
      <w:r w:rsidRPr="008D5914">
        <w:rPr>
          <w:sz w:val="18"/>
        </w:rPr>
        <w:t>Borchard</w:t>
      </w:r>
      <w:proofErr w:type="spellEnd"/>
      <w:r w:rsidRPr="008D5914">
        <w:rPr>
          <w:sz w:val="18"/>
        </w:rPr>
        <w:t>, G., Flühmann, B., Mühlebach, S., Nanoparticle iron medicinal products - Requirements for approval of intended copies of non-biological complex drugs (NBCD) and the importance of clinical comparative studies. Regulatory Toxicology and Pharmacology 2012, 64 324–328</w:t>
      </w:r>
    </w:p>
    <w:sectPr w:rsidR="008D5914" w:rsidRPr="008D5914" w:rsidSect="00702583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y" w:date="2017-01-16T17:08:00Z" w:initials="y">
    <w:p w:rsidR="00702583" w:rsidRDefault="00702583" w:rsidP="00702583">
      <w:pPr>
        <w:pStyle w:val="CommentText"/>
        <w:rPr>
          <w:rFonts w:hint="eastAsia"/>
          <w:lang w:eastAsia="zh-CN"/>
        </w:rPr>
      </w:pPr>
      <w:r>
        <w:rPr>
          <w:rStyle w:val="CommentReference"/>
        </w:rPr>
        <w:annotationRef/>
      </w:r>
    </w:p>
    <w:p w:rsidR="00702583" w:rsidRDefault="00702583" w:rsidP="00702583">
      <w:pPr>
        <w:pStyle w:val="CommentText"/>
        <w:rPr>
          <w:rFonts w:hint="eastAsia"/>
          <w:lang w:eastAsia="zh-CN"/>
        </w:rPr>
      </w:pPr>
      <w:r>
        <w:rPr>
          <w:lang w:eastAsia="zh-CN"/>
        </w:rPr>
        <w:t>W</w:t>
      </w:r>
      <w:r>
        <w:rPr>
          <w:rFonts w:hint="eastAsia"/>
          <w:lang w:eastAsia="zh-CN"/>
        </w:rPr>
        <w:t>ord size</w:t>
      </w:r>
      <w:r>
        <w:rPr>
          <w:rFonts w:hint="eastAsia"/>
          <w:lang w:eastAsia="zh-CN"/>
        </w:rPr>
        <w:t>：</w:t>
      </w:r>
      <w:r>
        <w:rPr>
          <w:rFonts w:hint="eastAsia"/>
          <w:lang w:eastAsia="zh-CN"/>
        </w:rPr>
        <w:t xml:space="preserve">8 </w:t>
      </w:r>
      <w:r>
        <w:rPr>
          <w:rFonts w:hint="eastAsia"/>
          <w:lang w:eastAsia="zh-CN"/>
        </w:rPr>
        <w:t>，</w:t>
      </w:r>
      <w:r>
        <w:rPr>
          <w:rFonts w:hint="eastAsia"/>
          <w:lang w:eastAsia="zh-CN"/>
        </w:rPr>
        <w:t xml:space="preserve">Please pay attention to the use of special symbol and </w:t>
      </w:r>
      <w:r>
        <w:rPr>
          <w:lang w:eastAsia="zh-CN"/>
        </w:rPr>
        <w:t>punctuation</w:t>
      </w:r>
      <w:r>
        <w:rPr>
          <w:rFonts w:hint="eastAsia"/>
          <w:lang w:eastAsia="zh-CN"/>
        </w:rPr>
        <w:t>.</w:t>
      </w:r>
    </w:p>
  </w:comment>
  <w:comment w:id="1" w:author="y" w:date="2017-01-16T17:08:00Z" w:initials="y">
    <w:p w:rsidR="00702583" w:rsidRDefault="00702583" w:rsidP="00702583">
      <w:pPr>
        <w:pStyle w:val="CommentText"/>
        <w:rPr>
          <w:rFonts w:hint="eastAsia"/>
          <w:lang w:eastAsia="zh-CN"/>
        </w:rPr>
      </w:pPr>
      <w:r>
        <w:rPr>
          <w:rStyle w:val="CommentReference"/>
        </w:rPr>
        <w:annotationRef/>
      </w:r>
    </w:p>
    <w:p w:rsidR="00702583" w:rsidRDefault="00702583" w:rsidP="00702583">
      <w:pPr>
        <w:pStyle w:val="CommentText"/>
        <w:rPr>
          <w:rFonts w:hint="eastAsia"/>
          <w:lang w:eastAsia="zh-CN"/>
        </w:rPr>
      </w:pPr>
      <w:r>
        <w:rPr>
          <w:rFonts w:hint="eastAsia"/>
          <w:lang w:eastAsia="zh-CN"/>
        </w:rPr>
        <w:t>Within 2800characters</w:t>
      </w:r>
      <w:r>
        <w:rPr>
          <w:rFonts w:hint="eastAsia"/>
          <w:lang w:eastAsia="zh-CN"/>
        </w:rPr>
        <w:t>（</w:t>
      </w:r>
      <w:r>
        <w:rPr>
          <w:rFonts w:hint="eastAsia"/>
          <w:lang w:eastAsia="zh-CN"/>
        </w:rPr>
        <w:t>includes space</w:t>
      </w:r>
      <w:r>
        <w:rPr>
          <w:rFonts w:hint="eastAsia"/>
          <w:lang w:eastAsia="zh-CN"/>
        </w:rPr>
        <w:t>）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284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778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275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772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270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767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264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761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259" w:hanging="2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9F9"/>
    <w:rsid w:val="00592441"/>
    <w:rsid w:val="00702583"/>
    <w:rsid w:val="008D5914"/>
    <w:rsid w:val="00B479F9"/>
    <w:rsid w:val="00C63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1"/>
    <w:qFormat/>
    <w:rsid w:val="00C63514"/>
    <w:pPr>
      <w:widowControl w:val="0"/>
      <w:spacing w:after="0" w:line="240" w:lineRule="auto"/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rsid w:val="00C63514"/>
    <w:rPr>
      <w:rFonts w:ascii="Arial" w:eastAsia="Arial" w:hAnsi="Arial" w:cs="Arial"/>
      <w:b/>
      <w:bCs/>
      <w:sz w:val="20"/>
      <w:szCs w:val="20"/>
    </w:rPr>
  </w:style>
  <w:style w:type="paragraph" w:styleId="BodyText">
    <w:name w:val="Body Text"/>
    <w:basedOn w:val="Normal"/>
    <w:link w:val="BodyTextChar"/>
    <w:uiPriority w:val="1"/>
    <w:qFormat/>
    <w:rsid w:val="00C63514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C63514"/>
    <w:rPr>
      <w:rFonts w:ascii="Tw Cen MT" w:eastAsia="Tw Cen MT" w:hAnsi="Tw Cen MT" w:cs="Tw Cen MT"/>
      <w:sz w:val="18"/>
      <w:szCs w:val="18"/>
    </w:rPr>
  </w:style>
  <w:style w:type="paragraph" w:styleId="ListParagraph">
    <w:name w:val="List Paragraph"/>
    <w:basedOn w:val="Normal"/>
    <w:uiPriority w:val="1"/>
    <w:qFormat/>
    <w:rsid w:val="00C63514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</w:rPr>
  </w:style>
  <w:style w:type="character" w:styleId="CommentReference">
    <w:name w:val="annotation reference"/>
    <w:rsid w:val="00702583"/>
    <w:rPr>
      <w:sz w:val="21"/>
      <w:szCs w:val="21"/>
    </w:rPr>
  </w:style>
  <w:style w:type="paragraph" w:styleId="CommentText">
    <w:name w:val="annotation text"/>
    <w:basedOn w:val="Normal"/>
    <w:link w:val="CommentTextChar"/>
    <w:rsid w:val="00702583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702583"/>
    <w:rPr>
      <w:rFonts w:ascii="Times New Roman" w:eastAsia="SimSu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25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258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0258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1"/>
    <w:qFormat/>
    <w:rsid w:val="00C63514"/>
    <w:pPr>
      <w:widowControl w:val="0"/>
      <w:spacing w:after="0" w:line="240" w:lineRule="auto"/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rsid w:val="00C63514"/>
    <w:rPr>
      <w:rFonts w:ascii="Arial" w:eastAsia="Arial" w:hAnsi="Arial" w:cs="Arial"/>
      <w:b/>
      <w:bCs/>
      <w:sz w:val="20"/>
      <w:szCs w:val="20"/>
    </w:rPr>
  </w:style>
  <w:style w:type="paragraph" w:styleId="BodyText">
    <w:name w:val="Body Text"/>
    <w:basedOn w:val="Normal"/>
    <w:link w:val="BodyTextChar"/>
    <w:uiPriority w:val="1"/>
    <w:qFormat/>
    <w:rsid w:val="00C63514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C63514"/>
    <w:rPr>
      <w:rFonts w:ascii="Tw Cen MT" w:eastAsia="Tw Cen MT" w:hAnsi="Tw Cen MT" w:cs="Tw Cen MT"/>
      <w:sz w:val="18"/>
      <w:szCs w:val="18"/>
    </w:rPr>
  </w:style>
  <w:style w:type="paragraph" w:styleId="ListParagraph">
    <w:name w:val="List Paragraph"/>
    <w:basedOn w:val="Normal"/>
    <w:uiPriority w:val="1"/>
    <w:qFormat/>
    <w:rsid w:val="00C63514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</w:rPr>
  </w:style>
  <w:style w:type="character" w:styleId="CommentReference">
    <w:name w:val="annotation reference"/>
    <w:rsid w:val="00702583"/>
    <w:rPr>
      <w:sz w:val="21"/>
      <w:szCs w:val="21"/>
    </w:rPr>
  </w:style>
  <w:style w:type="paragraph" w:styleId="CommentText">
    <w:name w:val="annotation text"/>
    <w:basedOn w:val="Normal"/>
    <w:link w:val="CommentTextChar"/>
    <w:rsid w:val="00702583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702583"/>
    <w:rPr>
      <w:rFonts w:ascii="Times New Roman" w:eastAsia="SimSu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25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258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0258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eat.fluehmann@viforpharma.com" TargetMode="External"/><Relationship Id="rId3" Type="http://schemas.microsoft.com/office/2007/relationships/stylesWithEffects" Target="stylesWithEffects.xml"/><Relationship Id="rId7" Type="http://schemas.openxmlformats.org/officeDocument/2006/relationships/comments" Target="commen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613</Words>
  <Characters>3495</Characters>
  <Application>Microsoft Office Word</Application>
  <DocSecurity>4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Vifor Pharma</Company>
  <LinksUpToDate>false</LinksUpToDate>
  <CharactersWithSpaces>4100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Asian Biosimilars Congress 2017</dc:creator>
  <cp:lastModifiedBy>Flühmann Beat</cp:lastModifiedBy>
  <cp:revision>2</cp:revision>
  <dcterms:created xsi:type="dcterms:W3CDTF">2017-01-16T16:24:00Z</dcterms:created>
  <dcterms:modified xsi:type="dcterms:W3CDTF">2017-01-16T16:24:00Z</dcterms:modified>
</cp:coreProperties>
</file>