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81F" w:rsidRDefault="004D381F" w:rsidP="00ED2278">
      <w:pPr>
        <w:autoSpaceDE w:val="0"/>
        <w:autoSpaceDN w:val="0"/>
        <w:adjustRightInd w:val="0"/>
        <w:spacing w:after="0" w:line="240" w:lineRule="auto"/>
        <w:jc w:val="center"/>
        <w:rPr>
          <w:rFonts w:ascii="TimesNewRomanPS-BoldMT" w:hAnsi="TimesNewRomanPS-BoldMT" w:cs="B Nazanin"/>
          <w:b/>
          <w:bCs/>
          <w:sz w:val="32"/>
          <w:szCs w:val="32"/>
        </w:rPr>
      </w:pPr>
      <w:r w:rsidRPr="00A635A5">
        <w:rPr>
          <w:rFonts w:ascii="TimesNewRomanPS-BoldMT" w:hAnsi="TimesNewRomanPS-BoldMT" w:cs="B Nazanin"/>
          <w:b/>
          <w:bCs/>
          <w:sz w:val="32"/>
          <w:szCs w:val="32"/>
        </w:rPr>
        <w:t>Multiple Sclerosis</w:t>
      </w:r>
      <w:r w:rsidR="00402072">
        <w:rPr>
          <w:rFonts w:ascii="TimesNewRomanPS-BoldMT" w:hAnsi="TimesNewRomanPS-BoldMT" w:cs="B Nazanin"/>
          <w:b/>
          <w:bCs/>
          <w:sz w:val="32"/>
          <w:szCs w:val="32"/>
        </w:rPr>
        <w:t xml:space="preserve">: </w:t>
      </w:r>
      <w:r w:rsidR="00ED2278">
        <w:rPr>
          <w:rFonts w:ascii="TimesNewRomanPS-BoldMT" w:hAnsi="TimesNewRomanPS-BoldMT" w:cs="B Nazanin"/>
          <w:b/>
          <w:bCs/>
          <w:sz w:val="32"/>
          <w:szCs w:val="32"/>
        </w:rPr>
        <w:t>R</w:t>
      </w:r>
      <w:r w:rsidRPr="00A635A5">
        <w:rPr>
          <w:rFonts w:ascii="TimesNewRomanPS-BoldMT" w:hAnsi="TimesNewRomanPS-BoldMT" w:cs="B Nazanin"/>
          <w:b/>
          <w:bCs/>
          <w:sz w:val="32"/>
          <w:szCs w:val="32"/>
        </w:rPr>
        <w:t xml:space="preserve">isk factors, </w:t>
      </w:r>
      <w:r w:rsidR="00ED2278">
        <w:rPr>
          <w:rFonts w:ascii="TimesNewRomanPS-BoldMT" w:hAnsi="TimesNewRomanPS-BoldMT" w:cs="B Nazanin"/>
          <w:b/>
          <w:bCs/>
          <w:sz w:val="32"/>
          <w:szCs w:val="32"/>
        </w:rPr>
        <w:t>B</w:t>
      </w:r>
      <w:r w:rsidRPr="00A635A5">
        <w:rPr>
          <w:rFonts w:ascii="TimesNewRomanPS-BoldMT" w:hAnsi="TimesNewRomanPS-BoldMT" w:cs="B Nazanin"/>
          <w:b/>
          <w:bCs/>
          <w:sz w:val="32"/>
          <w:szCs w:val="32"/>
        </w:rPr>
        <w:t>iomarkers and</w:t>
      </w:r>
      <w:r w:rsidR="00ED2278">
        <w:rPr>
          <w:rFonts w:ascii="TimesNewRomanPS-BoldMT" w:hAnsi="TimesNewRomanPS-BoldMT" w:cs="B Nazanin"/>
          <w:b/>
          <w:bCs/>
          <w:sz w:val="32"/>
          <w:szCs w:val="32"/>
        </w:rPr>
        <w:t xml:space="preserve"> New Therapeutic Approaches </w:t>
      </w:r>
      <w:r w:rsidRPr="00A635A5">
        <w:rPr>
          <w:rFonts w:ascii="TimesNewRomanPS-BoldMT" w:hAnsi="TimesNewRomanPS-BoldMT" w:cs="B Nazanin"/>
          <w:b/>
          <w:bCs/>
          <w:sz w:val="32"/>
          <w:szCs w:val="32"/>
        </w:rPr>
        <w:t xml:space="preserve"> </w:t>
      </w:r>
    </w:p>
    <w:p w:rsidR="00FE1C25" w:rsidRDefault="004D381F" w:rsidP="00FE1C25">
      <w:pPr>
        <w:rPr>
          <w:rFonts w:asciiTheme="majorBidi" w:eastAsia="Times New Roman" w:hAnsiTheme="majorBidi" w:cstheme="majorBidi"/>
          <w:sz w:val="24"/>
          <w:szCs w:val="24"/>
        </w:rPr>
      </w:pPr>
      <w:proofErr w:type="spellStart"/>
      <w:r w:rsidRPr="00A635A5">
        <w:rPr>
          <w:rFonts w:ascii="Times New Roman" w:eastAsia="Times New Roman" w:hAnsi="Times New Roman" w:cs="Times New Roman"/>
          <w:color w:val="000000"/>
          <w:sz w:val="24"/>
          <w:szCs w:val="24"/>
        </w:rPr>
        <w:t>Sepideh</w:t>
      </w:r>
      <w:proofErr w:type="spellEnd"/>
      <w:r w:rsidRPr="00A635A5">
        <w:rPr>
          <w:rFonts w:ascii="Times New Roman" w:eastAsia="Times New Roman" w:hAnsi="Times New Roman" w:cs="Times New Roman"/>
          <w:color w:val="000000"/>
          <w:sz w:val="24"/>
          <w:szCs w:val="24"/>
        </w:rPr>
        <w:t xml:space="preserve"> </w:t>
      </w:r>
      <w:proofErr w:type="spellStart"/>
      <w:r w:rsidRPr="00A635A5">
        <w:rPr>
          <w:rFonts w:ascii="Times New Roman" w:eastAsia="Times New Roman" w:hAnsi="Times New Roman" w:cs="Times New Roman"/>
          <w:color w:val="000000"/>
          <w:sz w:val="24"/>
          <w:szCs w:val="24"/>
        </w:rPr>
        <w:t>Arbabi</w:t>
      </w:r>
      <w:proofErr w:type="spellEnd"/>
      <w:r w:rsidRPr="00A635A5">
        <w:rPr>
          <w:rFonts w:ascii="Times New Roman" w:eastAsia="Times New Roman" w:hAnsi="Times New Roman" w:cs="Times New Roman"/>
          <w:color w:val="000000"/>
          <w:sz w:val="24"/>
          <w:szCs w:val="24"/>
        </w:rPr>
        <w:t xml:space="preserve"> </w:t>
      </w:r>
      <w:proofErr w:type="spellStart"/>
      <w:r w:rsidRPr="00A635A5">
        <w:rPr>
          <w:rFonts w:ascii="Times New Roman" w:eastAsia="Times New Roman" w:hAnsi="Times New Roman" w:cs="Times New Roman"/>
          <w:color w:val="000000"/>
          <w:sz w:val="24"/>
          <w:szCs w:val="24"/>
        </w:rPr>
        <w:t>Bidgoli</w:t>
      </w:r>
      <w:proofErr w:type="spellEnd"/>
      <w:r w:rsidR="00FE1C25" w:rsidRPr="00FE1C25">
        <w:rPr>
          <w:rFonts w:asciiTheme="majorBidi" w:eastAsia="Times New Roman" w:hAnsiTheme="majorBidi" w:cstheme="majorBidi"/>
          <w:sz w:val="24"/>
          <w:szCs w:val="24"/>
        </w:rPr>
        <w:t xml:space="preserve"> </w:t>
      </w:r>
      <w:r w:rsidR="00FE1C25">
        <w:rPr>
          <w:rFonts w:asciiTheme="majorBidi" w:eastAsia="Times New Roman" w:hAnsiTheme="majorBidi" w:cstheme="majorBidi"/>
          <w:sz w:val="24"/>
          <w:szCs w:val="24"/>
          <w:vertAlign w:val="superscript"/>
        </w:rPr>
        <w:t>1*</w:t>
      </w:r>
      <w:r w:rsidR="00FE1C25">
        <w:rPr>
          <w:rFonts w:asciiTheme="majorBidi" w:eastAsia="Times New Roman" w:hAnsiTheme="majorBidi" w:cstheme="majorBidi"/>
          <w:sz w:val="24"/>
          <w:szCs w:val="24"/>
        </w:rPr>
        <w:t xml:space="preserve">, </w:t>
      </w:r>
      <w:r w:rsidR="00FE1C25">
        <w:rPr>
          <w:rFonts w:asciiTheme="majorBidi" w:eastAsia="Times New Roman" w:hAnsiTheme="majorBidi" w:cstheme="majorBidi"/>
          <w:sz w:val="24"/>
          <w:szCs w:val="24"/>
        </w:rPr>
        <w:t>Shima Tavakol</w:t>
      </w:r>
      <w:r w:rsidR="00FE1C25">
        <w:rPr>
          <w:rFonts w:asciiTheme="majorBidi" w:eastAsia="Times New Roman" w:hAnsiTheme="majorBidi" w:cstheme="majorBidi"/>
          <w:sz w:val="24"/>
          <w:szCs w:val="24"/>
          <w:vertAlign w:val="superscript"/>
        </w:rPr>
        <w:t>2</w:t>
      </w:r>
      <w:r w:rsidR="00FE1C25" w:rsidRPr="00FE1C25">
        <w:rPr>
          <w:rFonts w:asciiTheme="majorBidi" w:eastAsia="Times New Roman" w:hAnsiTheme="majorBidi" w:cstheme="majorBidi"/>
          <w:sz w:val="24"/>
          <w:szCs w:val="24"/>
        </w:rPr>
        <w:t xml:space="preserve">, </w:t>
      </w:r>
      <w:r w:rsidR="00FE1C25">
        <w:rPr>
          <w:rFonts w:asciiTheme="majorBidi" w:eastAsia="Times New Roman" w:hAnsiTheme="majorBidi" w:cstheme="majorBidi"/>
          <w:sz w:val="24"/>
          <w:szCs w:val="24"/>
        </w:rPr>
        <w:t>Moadebeh Rahgooy</w:t>
      </w:r>
      <w:r w:rsidR="00FE1C25">
        <w:rPr>
          <w:rFonts w:asciiTheme="majorBidi" w:eastAsia="Times New Roman" w:hAnsiTheme="majorBidi" w:cstheme="majorBidi"/>
          <w:sz w:val="24"/>
          <w:szCs w:val="24"/>
          <w:vertAlign w:val="superscript"/>
        </w:rPr>
        <w:t>3</w:t>
      </w:r>
      <w:r w:rsidR="00FE1C25">
        <w:rPr>
          <w:rFonts w:asciiTheme="majorBidi" w:eastAsia="Times New Roman" w:hAnsiTheme="majorBidi" w:cstheme="majorBidi"/>
          <w:sz w:val="24"/>
          <w:szCs w:val="24"/>
        </w:rPr>
        <w:t xml:space="preserve">, </w:t>
      </w:r>
      <w:r w:rsidR="00FE1C25" w:rsidRPr="00FE1C25">
        <w:rPr>
          <w:rFonts w:asciiTheme="majorBidi" w:eastAsia="Times New Roman" w:hAnsiTheme="majorBidi" w:cstheme="majorBidi"/>
          <w:sz w:val="24"/>
          <w:szCs w:val="24"/>
        </w:rPr>
        <w:t>Saeed Shahbaigi</w:t>
      </w:r>
      <w:r w:rsidR="00FE1C25">
        <w:rPr>
          <w:rFonts w:asciiTheme="majorBidi" w:eastAsia="Times New Roman" w:hAnsiTheme="majorBidi" w:cstheme="majorBidi"/>
          <w:sz w:val="24"/>
          <w:szCs w:val="24"/>
          <w:vertAlign w:val="superscript"/>
        </w:rPr>
        <w:t>4</w:t>
      </w:r>
    </w:p>
    <w:p w:rsidR="00FE1C25" w:rsidRDefault="00FE1C25" w:rsidP="00FE1C25">
      <w:pPr>
        <w:rPr>
          <w:rFonts w:asciiTheme="majorBidi" w:eastAsia="Times New Roman" w:hAnsiTheme="majorBidi" w:cstheme="majorBidi"/>
          <w:sz w:val="24"/>
          <w:szCs w:val="24"/>
        </w:rPr>
      </w:pPr>
      <w:r>
        <w:rPr>
          <w:rFonts w:asciiTheme="majorBidi" w:hAnsiTheme="majorBidi" w:cstheme="majorBidi"/>
          <w:sz w:val="24"/>
          <w:szCs w:val="24"/>
        </w:rPr>
        <w:t xml:space="preserve">1:Dept. </w:t>
      </w:r>
      <w:proofErr w:type="gramStart"/>
      <w:r>
        <w:rPr>
          <w:rFonts w:asciiTheme="majorBidi" w:hAnsiTheme="majorBidi" w:cstheme="majorBidi"/>
          <w:sz w:val="24"/>
          <w:szCs w:val="24"/>
        </w:rPr>
        <w:t>of</w:t>
      </w:r>
      <w:proofErr w:type="gramEnd"/>
      <w:r>
        <w:rPr>
          <w:rFonts w:asciiTheme="majorBidi" w:hAnsiTheme="majorBidi" w:cstheme="majorBidi"/>
          <w:sz w:val="24"/>
          <w:szCs w:val="24"/>
        </w:rPr>
        <w:t xml:space="preserve"> Toxicology and Pharmacology , </w:t>
      </w:r>
      <w:r>
        <w:rPr>
          <w:rFonts w:asciiTheme="majorBidi" w:eastAsia="Times New Roman" w:hAnsiTheme="majorBidi" w:cstheme="majorBidi"/>
          <w:sz w:val="24"/>
          <w:szCs w:val="24"/>
        </w:rPr>
        <w:t>Faculty of Pharmacy and Pharmaceutical Sciences ,Tehran Medical Sciences , Islamic Azad University ,Tehran-Iran</w:t>
      </w:r>
      <w:r>
        <w:rPr>
          <w:rFonts w:asciiTheme="majorBidi" w:eastAsia="Times New Roman" w:hAnsiTheme="majorBidi" w:cstheme="majorBidi"/>
          <w:sz w:val="24"/>
          <w:szCs w:val="24"/>
        </w:rPr>
        <w:t>.</w:t>
      </w:r>
    </w:p>
    <w:p w:rsidR="00FE1C25" w:rsidRDefault="00FE1C25" w:rsidP="00FE1C25">
      <w:pPr>
        <w:rPr>
          <w:rFonts w:asciiTheme="majorBidi" w:hAnsiTheme="majorBidi" w:cstheme="majorBidi"/>
          <w:sz w:val="24"/>
          <w:szCs w:val="24"/>
        </w:rPr>
      </w:pPr>
      <w:r>
        <w:rPr>
          <w:rFonts w:asciiTheme="majorBidi" w:hAnsiTheme="majorBidi" w:cstheme="majorBidi"/>
          <w:sz w:val="24"/>
          <w:szCs w:val="24"/>
        </w:rPr>
        <w:t>2: Cellular and Molecular Research Center, Iran University of Medical Sciences, Tehran, Iran;</w:t>
      </w:r>
    </w:p>
    <w:p w:rsidR="00FE1C25" w:rsidRDefault="00FE1C25" w:rsidP="00FE1C25">
      <w:pPr>
        <w:rPr>
          <w:rFonts w:asciiTheme="majorBidi" w:eastAsia="Times New Roman" w:hAnsiTheme="majorBidi" w:cstheme="majorBidi"/>
          <w:sz w:val="24"/>
          <w:szCs w:val="24"/>
        </w:rPr>
      </w:pPr>
      <w:r>
        <w:rPr>
          <w:rFonts w:asciiTheme="majorBidi" w:eastAsia="Times New Roman" w:hAnsiTheme="majorBidi" w:cstheme="majorBidi"/>
          <w:sz w:val="24"/>
          <w:szCs w:val="24"/>
        </w:rPr>
        <w:t>3</w:t>
      </w:r>
      <w:r>
        <w:rPr>
          <w:rFonts w:asciiTheme="majorBidi" w:eastAsia="Times New Roman" w:hAnsiTheme="majorBidi" w:cstheme="majorBidi"/>
          <w:sz w:val="24"/>
          <w:szCs w:val="24"/>
        </w:rPr>
        <w:t xml:space="preserve">: Faculty of Pharmacy and Pharmaceutical </w:t>
      </w:r>
      <w:r>
        <w:rPr>
          <w:rFonts w:asciiTheme="majorBidi" w:eastAsia="Times New Roman" w:hAnsiTheme="majorBidi" w:cstheme="majorBidi"/>
          <w:sz w:val="24"/>
          <w:szCs w:val="24"/>
        </w:rPr>
        <w:t xml:space="preserve">Sciences, </w:t>
      </w:r>
      <w:r>
        <w:rPr>
          <w:rFonts w:asciiTheme="majorBidi" w:eastAsia="Times New Roman" w:hAnsiTheme="majorBidi" w:cstheme="majorBidi"/>
          <w:sz w:val="24"/>
          <w:szCs w:val="24"/>
        </w:rPr>
        <w:t xml:space="preserve">Tehran Medical </w:t>
      </w:r>
      <w:r>
        <w:rPr>
          <w:rFonts w:asciiTheme="majorBidi" w:eastAsia="Times New Roman" w:hAnsiTheme="majorBidi" w:cstheme="majorBidi"/>
          <w:sz w:val="24"/>
          <w:szCs w:val="24"/>
        </w:rPr>
        <w:t>Sciences,</w:t>
      </w:r>
      <w:r>
        <w:rPr>
          <w:rFonts w:asciiTheme="majorBidi" w:eastAsia="Times New Roman" w:hAnsiTheme="majorBidi" w:cstheme="majorBidi"/>
          <w:sz w:val="24"/>
          <w:szCs w:val="24"/>
        </w:rPr>
        <w:t xml:space="preserve"> Islamic Azad </w:t>
      </w:r>
      <w:proofErr w:type="gramStart"/>
      <w:r>
        <w:rPr>
          <w:rFonts w:asciiTheme="majorBidi" w:eastAsia="Times New Roman" w:hAnsiTheme="majorBidi" w:cstheme="majorBidi"/>
          <w:sz w:val="24"/>
          <w:szCs w:val="24"/>
        </w:rPr>
        <w:t>University ,</w:t>
      </w:r>
      <w:proofErr w:type="gramEnd"/>
      <w:r>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Tehran-Iran</w:t>
      </w:r>
      <w:r>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p>
    <w:p w:rsidR="00FE1C25" w:rsidRDefault="00FE1C25" w:rsidP="00FE1C25">
      <w:pPr>
        <w:rPr>
          <w:rFonts w:asciiTheme="majorBidi" w:eastAsiaTheme="minorHAnsi" w:hAnsiTheme="majorBidi" w:cstheme="majorBidi"/>
          <w:sz w:val="24"/>
          <w:szCs w:val="24"/>
          <w:lang w:bidi="fa-IR"/>
        </w:rPr>
      </w:pPr>
      <w:r>
        <w:rPr>
          <w:rFonts w:asciiTheme="majorBidi" w:eastAsia="Times New Roman" w:hAnsiTheme="majorBidi" w:cstheme="majorBidi"/>
          <w:sz w:val="24"/>
          <w:szCs w:val="24"/>
        </w:rPr>
        <w:t>4</w:t>
      </w:r>
      <w:r>
        <w:rPr>
          <w:rFonts w:asciiTheme="majorBidi" w:eastAsia="Times New Roman" w:hAnsiTheme="majorBidi" w:cstheme="majorBidi"/>
          <w:sz w:val="24"/>
          <w:szCs w:val="24"/>
        </w:rPr>
        <w:t xml:space="preserve">: </w:t>
      </w:r>
      <w:proofErr w:type="spellStart"/>
      <w:r>
        <w:rPr>
          <w:rFonts w:asciiTheme="majorBidi" w:hAnsiTheme="majorBidi" w:cstheme="majorBidi"/>
          <w:sz w:val="24"/>
          <w:szCs w:val="24"/>
        </w:rPr>
        <w:t>Loghman</w:t>
      </w:r>
      <w:proofErr w:type="spellEnd"/>
      <w:r>
        <w:rPr>
          <w:rFonts w:asciiTheme="majorBidi" w:hAnsiTheme="majorBidi" w:cstheme="majorBidi"/>
          <w:sz w:val="24"/>
          <w:szCs w:val="24"/>
        </w:rPr>
        <w:t xml:space="preserve"> </w:t>
      </w:r>
      <w:r>
        <w:rPr>
          <w:rFonts w:asciiTheme="majorBidi" w:hAnsiTheme="majorBidi" w:cstheme="majorBidi"/>
          <w:sz w:val="24"/>
          <w:szCs w:val="24"/>
        </w:rPr>
        <w:t xml:space="preserve">University </w:t>
      </w:r>
      <w:r>
        <w:rPr>
          <w:rFonts w:asciiTheme="majorBidi" w:hAnsiTheme="majorBidi" w:cstheme="majorBidi"/>
          <w:sz w:val="24"/>
          <w:szCs w:val="24"/>
        </w:rPr>
        <w:t xml:space="preserve">Hospital, </w:t>
      </w:r>
      <w:proofErr w:type="spellStart"/>
      <w:r>
        <w:rPr>
          <w:rFonts w:asciiTheme="majorBidi" w:hAnsiTheme="majorBidi" w:cstheme="majorBidi"/>
          <w:sz w:val="24"/>
          <w:szCs w:val="24"/>
        </w:rPr>
        <w:t>Shahid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Beheshti</w:t>
      </w:r>
      <w:proofErr w:type="spellEnd"/>
      <w:r>
        <w:rPr>
          <w:rFonts w:asciiTheme="majorBidi" w:hAnsiTheme="majorBidi" w:cstheme="majorBidi"/>
          <w:sz w:val="24"/>
          <w:szCs w:val="24"/>
        </w:rPr>
        <w:t xml:space="preserve"> University of Medical Sciences, Tehran </w:t>
      </w:r>
      <w:r>
        <w:rPr>
          <w:rFonts w:asciiTheme="majorBidi" w:hAnsiTheme="majorBidi" w:cstheme="majorBidi"/>
          <w:sz w:val="24"/>
          <w:szCs w:val="24"/>
        </w:rPr>
        <w:t>–</w:t>
      </w:r>
      <w:r>
        <w:rPr>
          <w:rFonts w:asciiTheme="majorBidi" w:hAnsiTheme="majorBidi" w:cstheme="majorBidi"/>
          <w:sz w:val="24"/>
          <w:szCs w:val="24"/>
        </w:rPr>
        <w:t xml:space="preserve"> Iran</w:t>
      </w:r>
      <w:r>
        <w:rPr>
          <w:rFonts w:asciiTheme="majorBidi" w:hAnsiTheme="majorBidi" w:cstheme="majorBidi"/>
          <w:sz w:val="24"/>
          <w:szCs w:val="24"/>
        </w:rPr>
        <w:t>.</w:t>
      </w:r>
    </w:p>
    <w:p w:rsidR="00FE1C25" w:rsidRDefault="00FE1C25" w:rsidP="00FE1C25">
      <w:pPr>
        <w:rPr>
          <w:rFonts w:ascii="Times New Roman" w:eastAsiaTheme="minorHAnsi" w:hAnsi="Times New Roman" w:cs="Times New Roman"/>
          <w:color w:val="000000" w:themeColor="text1"/>
          <w:sz w:val="24"/>
          <w:szCs w:val="24"/>
          <w:lang w:bidi="fa-IR"/>
        </w:rPr>
      </w:pPr>
      <w:r>
        <w:rPr>
          <w:rFonts w:ascii="Times New Roman" w:hAnsi="Times New Roman" w:cs="Times New Roman"/>
          <w:color w:val="000000" w:themeColor="text1"/>
          <w:sz w:val="24"/>
          <w:szCs w:val="24"/>
        </w:rPr>
        <w:t xml:space="preserve">Correspondence to: </w:t>
      </w:r>
    </w:p>
    <w:p w:rsidR="00FE1C25" w:rsidRDefault="00FE1C25" w:rsidP="00FE1C25">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Sepideh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Arbabi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Bidgoli</w:t>
      </w:r>
      <w:proofErr w:type="spellEnd"/>
      <w:r>
        <w:rPr>
          <w:rFonts w:ascii="Times New Roman" w:hAnsi="Times New Roman" w:cs="Times New Roman"/>
          <w:color w:val="000000" w:themeColor="text1"/>
          <w:sz w:val="24"/>
          <w:szCs w:val="24"/>
        </w:rPr>
        <w:t xml:space="preserve"> </w:t>
      </w:r>
    </w:p>
    <w:p w:rsidR="00FE1C25" w:rsidRDefault="00FE1C25" w:rsidP="00FE1C2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 of Toxicology</w:t>
      </w:r>
      <w:r>
        <w:rPr>
          <w:rFonts w:ascii="Times New Roman" w:hAnsi="Times New Roman" w:cs="Times New Roman"/>
          <w:color w:val="000000" w:themeColor="text1"/>
          <w:sz w:val="24"/>
          <w:szCs w:val="24"/>
        </w:rPr>
        <w:t xml:space="preserve"> and Pharmacology, President of Iranian Environmental Mutagen Society (</w:t>
      </w:r>
      <w:proofErr w:type="spellStart"/>
      <w:r>
        <w:rPr>
          <w:rFonts w:ascii="Times New Roman" w:hAnsi="Times New Roman" w:cs="Times New Roman"/>
          <w:color w:val="000000" w:themeColor="text1"/>
          <w:sz w:val="24"/>
          <w:szCs w:val="24"/>
        </w:rPr>
        <w:t>IrEMS</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Tehran-</w:t>
      </w:r>
      <w:proofErr w:type="gramStart"/>
      <w:r>
        <w:rPr>
          <w:rFonts w:ascii="Times New Roman" w:hAnsi="Times New Roman" w:cs="Times New Roman"/>
          <w:color w:val="000000" w:themeColor="text1"/>
          <w:sz w:val="24"/>
          <w:szCs w:val="24"/>
        </w:rPr>
        <w:t>Iran .</w:t>
      </w:r>
      <w:proofErr w:type="gramEnd"/>
    </w:p>
    <w:p w:rsidR="00FE1C25" w:rsidRDefault="00FE1C25" w:rsidP="00FE1C25">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Email</w:t>
      </w:r>
      <w:proofErr w:type="gramStart"/>
      <w:r>
        <w:rPr>
          <w:rFonts w:ascii="Times New Roman" w:hAnsi="Times New Roman" w:cs="Times New Roman"/>
          <w:color w:val="000000" w:themeColor="text1"/>
          <w:sz w:val="24"/>
          <w:szCs w:val="24"/>
        </w:rPr>
        <w:t>:</w:t>
      </w:r>
      <w:proofErr w:type="gramEnd"/>
      <w:r>
        <w:fldChar w:fldCharType="begin"/>
      </w:r>
      <w:r>
        <w:instrText xml:space="preserve"> HYPERLINK "mailto:arbabi@iaups.ac.ir" </w:instrText>
      </w:r>
      <w:r>
        <w:fldChar w:fldCharType="separate"/>
      </w:r>
      <w:r>
        <w:rPr>
          <w:rStyle w:val="Hyperlink"/>
          <w:rFonts w:ascii="Times New Roman" w:hAnsi="Times New Roman" w:cs="Times New Roman"/>
          <w:color w:val="000000" w:themeColor="text1"/>
          <w:sz w:val="24"/>
          <w:szCs w:val="24"/>
        </w:rPr>
        <w:t>arbabi@iaups.ac.ir</w:t>
      </w:r>
      <w:proofErr w:type="spellEnd"/>
      <w:r>
        <w:fldChar w:fldCharType="end"/>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hyperlink r:id="rId8" w:history="1">
        <w:r>
          <w:rPr>
            <w:rStyle w:val="Hyperlink"/>
            <w:rFonts w:ascii="Times New Roman" w:hAnsi="Times New Roman" w:cs="Times New Roman"/>
            <w:color w:val="000000" w:themeColor="text1"/>
            <w:sz w:val="24"/>
            <w:szCs w:val="24"/>
          </w:rPr>
          <w:t>sepideharbabi@gmail.com</w:t>
        </w:r>
      </w:hyperlink>
      <w:r>
        <w:rPr>
          <w:rFonts w:ascii="Times New Roman" w:hAnsi="Times New Roman" w:cs="Times New Roman"/>
          <w:color w:val="000000" w:themeColor="text1"/>
          <w:sz w:val="24"/>
          <w:szCs w:val="24"/>
        </w:rPr>
        <w:t xml:space="preserve"> Tel: +989121776800</w:t>
      </w:r>
    </w:p>
    <w:p w:rsidR="0055648E" w:rsidRPr="00FE1C25" w:rsidRDefault="004D381F" w:rsidP="00FE1C25">
      <w:pPr>
        <w:autoSpaceDE w:val="0"/>
        <w:autoSpaceDN w:val="0"/>
        <w:adjustRightInd w:val="0"/>
        <w:spacing w:after="0" w:line="240" w:lineRule="auto"/>
        <w:jc w:val="both"/>
        <w:rPr>
          <w:rFonts w:asciiTheme="majorBidi" w:hAnsiTheme="majorBidi" w:cstheme="majorBidi"/>
          <w:sz w:val="24"/>
          <w:szCs w:val="24"/>
        </w:rPr>
      </w:pPr>
      <w:r w:rsidRPr="00FE1C25">
        <w:rPr>
          <w:rFonts w:asciiTheme="majorBidi" w:eastAsia="Times New Roman" w:hAnsiTheme="majorBidi" w:cstheme="majorBidi"/>
          <w:b/>
          <w:bCs/>
          <w:color w:val="000000"/>
          <w:sz w:val="24"/>
          <w:szCs w:val="24"/>
        </w:rPr>
        <w:t>Introduction:</w:t>
      </w:r>
      <w:r w:rsidR="00B53A90" w:rsidRPr="00FE1C25">
        <w:rPr>
          <w:rFonts w:asciiTheme="majorBidi" w:hAnsiTheme="majorBidi" w:cstheme="majorBidi"/>
          <w:sz w:val="24"/>
          <w:szCs w:val="24"/>
        </w:rPr>
        <w:t xml:space="preserve"> </w:t>
      </w:r>
    </w:p>
    <w:p w:rsidR="00390296" w:rsidRPr="00FE1C25" w:rsidRDefault="0055648E" w:rsidP="00FE1C25">
      <w:pPr>
        <w:pStyle w:val="Quote"/>
        <w:jc w:val="both"/>
        <w:rPr>
          <w:rFonts w:asciiTheme="majorBidi" w:hAnsiTheme="majorBidi" w:cstheme="majorBidi"/>
          <w:i w:val="0"/>
          <w:iCs/>
        </w:rPr>
      </w:pPr>
      <w:r w:rsidRPr="00FE1C25">
        <w:rPr>
          <w:rFonts w:asciiTheme="majorBidi" w:hAnsiTheme="majorBidi" w:cstheme="majorBidi"/>
          <w:i w:val="0"/>
          <w:iCs/>
        </w:rPr>
        <w:t xml:space="preserve">Multiple sclerosis (MS) is a multifactorial </w:t>
      </w:r>
      <w:r w:rsidR="00FE1C25" w:rsidRPr="00FE1C25">
        <w:rPr>
          <w:rFonts w:asciiTheme="majorBidi" w:hAnsiTheme="majorBidi" w:cstheme="majorBidi"/>
          <w:i w:val="0"/>
          <w:iCs/>
        </w:rPr>
        <w:t>disease</w:t>
      </w:r>
      <w:r w:rsidRPr="00FE1C25">
        <w:rPr>
          <w:rFonts w:asciiTheme="majorBidi" w:hAnsiTheme="majorBidi" w:cstheme="majorBidi"/>
          <w:i w:val="0"/>
          <w:iCs/>
        </w:rPr>
        <w:t xml:space="preserve"> and </w:t>
      </w:r>
      <w:r w:rsidR="00FE1C25" w:rsidRPr="00FE1C25">
        <w:rPr>
          <w:rFonts w:asciiTheme="majorBidi" w:hAnsiTheme="majorBidi" w:cstheme="majorBidi"/>
          <w:i w:val="0"/>
          <w:iCs/>
        </w:rPr>
        <w:t>its</w:t>
      </w:r>
      <w:r w:rsidRPr="00FE1C25">
        <w:rPr>
          <w:rFonts w:asciiTheme="majorBidi" w:hAnsiTheme="majorBidi" w:cstheme="majorBidi"/>
          <w:i w:val="0"/>
          <w:iCs/>
        </w:rPr>
        <w:t xml:space="preserve"> underlying risk factors </w:t>
      </w:r>
      <w:r w:rsidRPr="00FE1C25">
        <w:rPr>
          <w:rFonts w:asciiTheme="majorBidi" w:eastAsia="Times New Roman" w:hAnsiTheme="majorBidi" w:cstheme="majorBidi"/>
          <w:i w:val="0"/>
          <w:iCs/>
          <w:color w:val="000000"/>
        </w:rPr>
        <w:t>have remained</w:t>
      </w:r>
      <w:r w:rsidRPr="00FE1C25">
        <w:rPr>
          <w:rFonts w:asciiTheme="majorBidi" w:hAnsiTheme="majorBidi" w:cstheme="majorBidi"/>
          <w:i w:val="0"/>
          <w:iCs/>
        </w:rPr>
        <w:t xml:space="preserve"> unclear, although gene-environment interactions may play significant roles in its etiology.</w:t>
      </w:r>
      <w:r w:rsidRPr="00FE1C25">
        <w:rPr>
          <w:rFonts w:asciiTheme="majorBidi" w:eastAsia="Times New Roman" w:hAnsiTheme="majorBidi" w:cstheme="majorBidi"/>
          <w:color w:val="000000"/>
        </w:rPr>
        <w:t xml:space="preserve"> </w:t>
      </w:r>
      <w:r w:rsidRPr="00FE1C25">
        <w:rPr>
          <w:rFonts w:asciiTheme="majorBidi" w:hAnsiTheme="majorBidi" w:cstheme="majorBidi"/>
          <w:i w:val="0"/>
          <w:iCs/>
        </w:rPr>
        <w:t xml:space="preserve"> Noteworthy, it seems that sex hormones influence the risk of developing or prognosis of MS in females</w:t>
      </w:r>
      <w:r w:rsidR="00390296" w:rsidRPr="00FE1C25">
        <w:rPr>
          <w:rFonts w:asciiTheme="majorBidi" w:hAnsiTheme="majorBidi" w:cstheme="majorBidi"/>
          <w:i w:val="0"/>
          <w:iCs/>
        </w:rPr>
        <w:t xml:space="preserve"> </w:t>
      </w:r>
      <w:r w:rsidR="00FE1C25" w:rsidRPr="00FE1C25">
        <w:rPr>
          <w:rFonts w:asciiTheme="majorBidi" w:hAnsiTheme="majorBidi" w:cstheme="majorBidi"/>
          <w:i w:val="0"/>
          <w:iCs/>
        </w:rPr>
        <w:t>and some herbs</w:t>
      </w:r>
      <w:r w:rsidRPr="00FE1C25">
        <w:rPr>
          <w:rFonts w:asciiTheme="majorBidi" w:hAnsiTheme="majorBidi" w:cstheme="majorBidi"/>
          <w:i w:val="0"/>
          <w:iCs/>
        </w:rPr>
        <w:t xml:space="preserve"> </w:t>
      </w:r>
      <w:r w:rsidR="00FE1C25" w:rsidRPr="00FE1C25">
        <w:rPr>
          <w:rFonts w:asciiTheme="majorBidi" w:hAnsiTheme="majorBidi" w:cstheme="majorBidi"/>
          <w:i w:val="0"/>
          <w:iCs/>
        </w:rPr>
        <w:t xml:space="preserve">with estrogenic properties </w:t>
      </w:r>
      <w:r w:rsidRPr="00FE1C25">
        <w:rPr>
          <w:rFonts w:asciiTheme="majorBidi" w:hAnsiTheme="majorBidi" w:cstheme="majorBidi"/>
          <w:i w:val="0"/>
          <w:iCs/>
        </w:rPr>
        <w:t xml:space="preserve">may </w:t>
      </w:r>
      <w:r w:rsidR="00FE1C25" w:rsidRPr="00FE1C25">
        <w:rPr>
          <w:rFonts w:asciiTheme="majorBidi" w:hAnsiTheme="majorBidi" w:cstheme="majorBidi"/>
          <w:i w:val="0"/>
          <w:iCs/>
        </w:rPr>
        <w:t>regulate sexual</w:t>
      </w:r>
      <w:r w:rsidRPr="00FE1C25">
        <w:rPr>
          <w:rFonts w:asciiTheme="majorBidi" w:hAnsiTheme="majorBidi" w:cstheme="majorBidi"/>
          <w:i w:val="0"/>
          <w:iCs/>
        </w:rPr>
        <w:t xml:space="preserve"> hormones and ameliorate the clinical signs and symptoms of MS</w:t>
      </w:r>
      <w:r w:rsidR="00FE1C25" w:rsidRPr="00FE1C25">
        <w:rPr>
          <w:rFonts w:asciiTheme="majorBidi" w:hAnsiTheme="majorBidi" w:cstheme="majorBidi"/>
          <w:i w:val="0"/>
          <w:iCs/>
        </w:rPr>
        <w:t xml:space="preserve"> in female patients. </w:t>
      </w:r>
    </w:p>
    <w:p w:rsidR="00FE1C25" w:rsidRPr="00FE1C25" w:rsidRDefault="00390296" w:rsidP="00FE1C25">
      <w:pPr>
        <w:pStyle w:val="Quote"/>
        <w:jc w:val="both"/>
        <w:rPr>
          <w:rFonts w:asciiTheme="majorBidi" w:hAnsiTheme="majorBidi" w:cstheme="majorBidi"/>
          <w:i w:val="0"/>
          <w:iCs/>
        </w:rPr>
      </w:pPr>
      <w:r w:rsidRPr="00FE1C25">
        <w:rPr>
          <w:rFonts w:asciiTheme="majorBidi" w:hAnsiTheme="majorBidi" w:cstheme="majorBidi"/>
          <w:b/>
          <w:bCs/>
          <w:i w:val="0"/>
          <w:iCs/>
        </w:rPr>
        <w:t xml:space="preserve">Aims and </w:t>
      </w:r>
      <w:r w:rsidR="00FE1C25" w:rsidRPr="00FE1C25">
        <w:rPr>
          <w:rFonts w:asciiTheme="majorBidi" w:hAnsiTheme="majorBidi" w:cstheme="majorBidi"/>
          <w:b/>
          <w:bCs/>
          <w:i w:val="0"/>
          <w:iCs/>
        </w:rPr>
        <w:t xml:space="preserve">Objectives: </w:t>
      </w:r>
      <w:r w:rsidRPr="00FE1C25">
        <w:rPr>
          <w:rFonts w:asciiTheme="majorBidi" w:hAnsiTheme="majorBidi" w:cstheme="majorBidi"/>
          <w:i w:val="0"/>
          <w:iCs/>
          <w:color w:val="000000"/>
        </w:rPr>
        <w:t xml:space="preserve">This study aimed to investigate the role of </w:t>
      </w:r>
      <w:r w:rsidRPr="00FE1C25">
        <w:rPr>
          <w:rFonts w:asciiTheme="majorBidi" w:hAnsiTheme="majorBidi" w:cstheme="majorBidi"/>
          <w:i w:val="0"/>
          <w:iCs/>
        </w:rPr>
        <w:t>"pre-symptomatic MS" by focusing</w:t>
      </w:r>
      <w:r w:rsidRPr="00FE1C25">
        <w:rPr>
          <w:rFonts w:asciiTheme="majorBidi" w:hAnsiTheme="majorBidi" w:cstheme="majorBidi"/>
          <w:i w:val="0"/>
          <w:iCs/>
          <w:color w:val="000000"/>
        </w:rPr>
        <w:t xml:space="preserve"> on background factors, vitamin D intake and serum sex hormone levels in both genders. In the next </w:t>
      </w:r>
      <w:r w:rsidR="00FE1C25" w:rsidRPr="00FE1C25">
        <w:rPr>
          <w:rFonts w:asciiTheme="majorBidi" w:hAnsiTheme="majorBidi" w:cstheme="majorBidi"/>
          <w:i w:val="0"/>
          <w:iCs/>
          <w:color w:val="000000"/>
        </w:rPr>
        <w:t>step,</w:t>
      </w:r>
      <w:r w:rsidRPr="00FE1C25">
        <w:rPr>
          <w:rFonts w:asciiTheme="majorBidi" w:hAnsiTheme="majorBidi" w:cstheme="majorBidi"/>
          <w:i w:val="0"/>
          <w:iCs/>
        </w:rPr>
        <w:t xml:space="preserve"> the effect of orally </w:t>
      </w:r>
      <w:r w:rsidR="00FE1C25" w:rsidRPr="00FE1C25">
        <w:rPr>
          <w:rFonts w:asciiTheme="majorBidi" w:hAnsiTheme="majorBidi" w:cstheme="majorBidi"/>
          <w:i w:val="0"/>
          <w:iCs/>
        </w:rPr>
        <w:t>administered V</w:t>
      </w:r>
      <w:r w:rsidRPr="00FE1C25">
        <w:rPr>
          <w:rFonts w:asciiTheme="majorBidi" w:hAnsiTheme="majorBidi" w:cstheme="majorBidi"/>
          <w:i w:val="0"/>
          <w:iCs/>
        </w:rPr>
        <w:t xml:space="preserve">itex </w:t>
      </w:r>
      <w:r w:rsidR="00FE1C25" w:rsidRPr="00FE1C25">
        <w:rPr>
          <w:rFonts w:asciiTheme="majorBidi" w:hAnsiTheme="majorBidi" w:cstheme="majorBidi"/>
          <w:i w:val="0"/>
          <w:iCs/>
        </w:rPr>
        <w:t>A</w:t>
      </w:r>
      <w:r w:rsidRPr="00FE1C25">
        <w:rPr>
          <w:rFonts w:asciiTheme="majorBidi" w:hAnsiTheme="majorBidi" w:cstheme="majorBidi"/>
          <w:i w:val="0"/>
          <w:iCs/>
        </w:rPr>
        <w:t>gnus-</w:t>
      </w:r>
      <w:r w:rsidR="00FE1C25" w:rsidRPr="00FE1C25">
        <w:rPr>
          <w:rFonts w:asciiTheme="majorBidi" w:hAnsiTheme="majorBidi" w:cstheme="majorBidi"/>
          <w:i w:val="0"/>
          <w:iCs/>
        </w:rPr>
        <w:t xml:space="preserve"> C</w:t>
      </w:r>
      <w:r w:rsidRPr="00FE1C25">
        <w:rPr>
          <w:rFonts w:asciiTheme="majorBidi" w:hAnsiTheme="majorBidi" w:cstheme="majorBidi"/>
          <w:i w:val="0"/>
          <w:iCs/>
        </w:rPr>
        <w:t>astus (VAC) tablets on the quality of life parameters, EDSS and serum testosterone levels of premenopausal MS patients in a three months regimen</w:t>
      </w:r>
      <w:r w:rsidR="00FE1C25" w:rsidRPr="00FE1C25">
        <w:rPr>
          <w:rFonts w:asciiTheme="majorBidi" w:hAnsiTheme="majorBidi" w:cstheme="majorBidi"/>
          <w:i w:val="0"/>
          <w:iCs/>
        </w:rPr>
        <w:t xml:space="preserve"> were considered as the second purpose of this </w:t>
      </w:r>
      <w:r w:rsidR="00CD5915" w:rsidRPr="00FE1C25">
        <w:rPr>
          <w:rFonts w:asciiTheme="majorBidi" w:hAnsiTheme="majorBidi" w:cstheme="majorBidi"/>
          <w:i w:val="0"/>
          <w:iCs/>
        </w:rPr>
        <w:t>study.</w:t>
      </w:r>
    </w:p>
    <w:p w:rsidR="00FE1C25" w:rsidRPr="00FE1C25" w:rsidRDefault="00FE1C25" w:rsidP="00CD5915">
      <w:pPr>
        <w:pStyle w:val="Quote"/>
        <w:jc w:val="both"/>
        <w:rPr>
          <w:rFonts w:asciiTheme="majorBidi" w:hAnsiTheme="majorBidi" w:cstheme="majorBidi"/>
          <w:i w:val="0"/>
          <w:iCs/>
        </w:rPr>
      </w:pPr>
      <w:r w:rsidRPr="00FE1C25">
        <w:rPr>
          <w:rFonts w:asciiTheme="majorBidi" w:hAnsiTheme="majorBidi" w:cstheme="majorBidi"/>
          <w:b/>
          <w:bCs/>
          <w:i w:val="0"/>
          <w:iCs/>
        </w:rPr>
        <w:t xml:space="preserve"> Methods and Materials:</w:t>
      </w:r>
      <w:r w:rsidRPr="00FE1C25">
        <w:rPr>
          <w:rFonts w:asciiTheme="majorBidi" w:hAnsiTheme="majorBidi" w:cstheme="majorBidi"/>
          <w:i w:val="0"/>
          <w:iCs/>
        </w:rPr>
        <w:t xml:space="preserve"> </w:t>
      </w:r>
      <w:r w:rsidR="00390296" w:rsidRPr="00FE1C25">
        <w:rPr>
          <w:rFonts w:asciiTheme="majorBidi" w:hAnsiTheme="majorBidi" w:cstheme="majorBidi"/>
          <w:i w:val="0"/>
          <w:iCs/>
        </w:rPr>
        <w:t>Pre-symptomatic</w:t>
      </w:r>
      <w:r w:rsidR="00390296" w:rsidRPr="00FE1C25">
        <w:rPr>
          <w:rFonts w:asciiTheme="majorBidi" w:eastAsia="Times New Roman" w:hAnsiTheme="majorBidi" w:cstheme="majorBidi"/>
          <w:i w:val="0"/>
          <w:iCs/>
          <w:color w:val="000000"/>
        </w:rPr>
        <w:t xml:space="preserve"> factors of 300 patients (150 males, 150 females) and serum levels of omega-3, vitamin D, hormones as well as the 5 years </w:t>
      </w:r>
      <w:r w:rsidR="00CD5915" w:rsidRPr="00FE1C25">
        <w:rPr>
          <w:rFonts w:asciiTheme="majorBidi" w:eastAsia="Times New Roman" w:hAnsiTheme="majorBidi" w:cstheme="majorBidi"/>
          <w:i w:val="0"/>
          <w:iCs/>
          <w:color w:val="000000"/>
        </w:rPr>
        <w:t>history of menstrual irregula</w:t>
      </w:r>
      <w:r w:rsidR="00CD5915">
        <w:rPr>
          <w:rFonts w:asciiTheme="majorBidi" w:eastAsia="Times New Roman" w:hAnsiTheme="majorBidi" w:cstheme="majorBidi"/>
          <w:i w:val="0"/>
          <w:iCs/>
          <w:color w:val="000000"/>
        </w:rPr>
        <w:t xml:space="preserve">rity </w:t>
      </w:r>
      <w:r w:rsidR="00CD5915" w:rsidRPr="00FE1C25">
        <w:rPr>
          <w:rFonts w:asciiTheme="majorBidi" w:eastAsia="Times New Roman" w:hAnsiTheme="majorBidi" w:cstheme="majorBidi"/>
          <w:i w:val="0"/>
          <w:iCs/>
          <w:color w:val="000000"/>
        </w:rPr>
        <w:t xml:space="preserve"> was</w:t>
      </w:r>
      <w:r w:rsidR="00390296" w:rsidRPr="00FE1C25">
        <w:rPr>
          <w:rFonts w:asciiTheme="majorBidi" w:eastAsia="Times New Roman" w:hAnsiTheme="majorBidi" w:cstheme="majorBidi"/>
          <w:i w:val="0"/>
          <w:iCs/>
          <w:color w:val="000000"/>
        </w:rPr>
        <w:t xml:space="preserve"> surveyed in </w:t>
      </w:r>
      <w:r w:rsidRPr="00FE1C25">
        <w:rPr>
          <w:rFonts w:asciiTheme="majorBidi" w:eastAsia="Times New Roman" w:hAnsiTheme="majorBidi" w:cstheme="majorBidi"/>
          <w:i w:val="0"/>
          <w:iCs/>
          <w:color w:val="000000"/>
        </w:rPr>
        <w:t xml:space="preserve">Iranian MS patients. </w:t>
      </w:r>
      <w:proofErr w:type="spellStart"/>
      <w:r w:rsidRPr="00FE1C25">
        <w:rPr>
          <w:rFonts w:asciiTheme="majorBidi" w:hAnsiTheme="majorBidi" w:cstheme="majorBidi"/>
          <w:i w:val="0"/>
          <w:iCs/>
        </w:rPr>
        <w:t>Vitagnus</w:t>
      </w:r>
      <w:proofErr w:type="spellEnd"/>
      <w:r w:rsidRPr="00FE1C25">
        <w:rPr>
          <w:rFonts w:asciiTheme="majorBidi" w:hAnsiTheme="majorBidi" w:cstheme="majorBidi"/>
          <w:i w:val="0"/>
          <w:iCs/>
        </w:rPr>
        <w:t xml:space="preserve"> oral tablets </w:t>
      </w:r>
      <w:r w:rsidR="00CD5915">
        <w:rPr>
          <w:rFonts w:asciiTheme="majorBidi" w:hAnsiTheme="majorBidi" w:cstheme="majorBidi"/>
          <w:i w:val="0"/>
          <w:iCs/>
        </w:rPr>
        <w:t>were administered</w:t>
      </w:r>
      <w:r w:rsidRPr="00FE1C25">
        <w:rPr>
          <w:rFonts w:asciiTheme="majorBidi" w:hAnsiTheme="majorBidi" w:cstheme="majorBidi"/>
          <w:i w:val="0"/>
          <w:iCs/>
        </w:rPr>
        <w:t xml:space="preserve"> twice a day for 3 months </w:t>
      </w:r>
      <w:r w:rsidR="00CD5915">
        <w:rPr>
          <w:rFonts w:asciiTheme="majorBidi" w:hAnsiTheme="majorBidi" w:cstheme="majorBidi"/>
          <w:i w:val="0"/>
          <w:iCs/>
        </w:rPr>
        <w:t>to</w:t>
      </w:r>
      <w:r w:rsidRPr="00FE1C25">
        <w:rPr>
          <w:rFonts w:asciiTheme="majorBidi" w:hAnsiTheme="majorBidi" w:cstheme="majorBidi"/>
          <w:i w:val="0"/>
          <w:iCs/>
        </w:rPr>
        <w:t xml:space="preserve"> 30 premenopausal multiple sclerosis women with IR.IAU.PS.REC.1396.169 ethics code. Demographic and </w:t>
      </w:r>
      <w:r w:rsidRPr="00FE1C25">
        <w:rPr>
          <w:rFonts w:asciiTheme="majorBidi" w:hAnsiTheme="majorBidi" w:cstheme="majorBidi"/>
          <w:i w:val="0"/>
          <w:iCs/>
        </w:rPr>
        <w:lastRenderedPageBreak/>
        <w:t xml:space="preserve">MSQOL-54 questionnaires were filled out and serum testosterone levels and EDSS were compared at the baseline and after 3 months of intervention. Mean levels of all parametric variables were compared by paired t-test and Wilcoxon test for non-parametric variables. </w:t>
      </w:r>
    </w:p>
    <w:p w:rsidR="00FE1C25" w:rsidRPr="00FE1C25" w:rsidRDefault="00CD5915" w:rsidP="00FE1C25">
      <w:pPr>
        <w:pStyle w:val="Quote"/>
        <w:jc w:val="both"/>
        <w:rPr>
          <w:rFonts w:asciiTheme="majorBidi" w:hAnsiTheme="majorBidi" w:cstheme="majorBidi"/>
          <w:i w:val="0"/>
          <w:iCs/>
        </w:rPr>
      </w:pPr>
      <w:r w:rsidRPr="00FE1C25">
        <w:rPr>
          <w:rFonts w:asciiTheme="majorBidi" w:hAnsiTheme="majorBidi" w:cstheme="majorBidi"/>
          <w:b/>
          <w:bCs/>
          <w:i w:val="0"/>
          <w:iCs/>
        </w:rPr>
        <w:t>Results:</w:t>
      </w:r>
      <w:r w:rsidR="00FE1C25" w:rsidRPr="00FE1C25">
        <w:rPr>
          <w:rFonts w:asciiTheme="majorBidi" w:hAnsiTheme="majorBidi" w:cstheme="majorBidi"/>
          <w:b/>
          <w:bCs/>
          <w:i w:val="0"/>
          <w:iCs/>
        </w:rPr>
        <w:t xml:space="preserve"> </w:t>
      </w:r>
      <w:r w:rsidR="00FE1C25" w:rsidRPr="00FE1C25">
        <w:rPr>
          <w:rFonts w:asciiTheme="majorBidi" w:eastAsia="Times New Roman" w:hAnsiTheme="majorBidi" w:cstheme="majorBidi"/>
          <w:i w:val="0"/>
          <w:iCs/>
          <w:color w:val="000000"/>
        </w:rPr>
        <w:t xml:space="preserve">Although the levels of omega-3, vitamin D and testosterone were not statistically different between the Pre-MS </w:t>
      </w:r>
      <w:bookmarkStart w:id="0" w:name="_GoBack"/>
      <w:bookmarkEnd w:id="0"/>
      <w:r w:rsidRPr="00FE1C25">
        <w:rPr>
          <w:rFonts w:asciiTheme="majorBidi" w:eastAsia="Times New Roman" w:hAnsiTheme="majorBidi" w:cstheme="majorBidi"/>
          <w:i w:val="0"/>
          <w:iCs/>
          <w:color w:val="000000"/>
        </w:rPr>
        <w:t>Patients</w:t>
      </w:r>
      <w:r w:rsidR="00FE1C25" w:rsidRPr="00FE1C25">
        <w:rPr>
          <w:rFonts w:asciiTheme="majorBidi" w:eastAsia="Times New Roman" w:hAnsiTheme="majorBidi" w:cstheme="majorBidi"/>
          <w:i w:val="0"/>
          <w:iCs/>
          <w:color w:val="000000"/>
        </w:rPr>
        <w:t xml:space="preserve"> and the 300 matched normal controls, </w:t>
      </w:r>
      <w:r w:rsidR="00FE1C25" w:rsidRPr="00FE1C25">
        <w:rPr>
          <w:rFonts w:asciiTheme="majorBidi" w:eastAsia="Times New Roman" w:hAnsiTheme="majorBidi" w:cstheme="majorBidi"/>
          <w:i w:val="0"/>
          <w:iCs/>
          <w:color w:val="000000"/>
        </w:rPr>
        <w:t>they were</w:t>
      </w:r>
      <w:r w:rsidR="00FE1C25" w:rsidRPr="00FE1C25">
        <w:rPr>
          <w:rFonts w:asciiTheme="majorBidi" w:eastAsia="Times New Roman" w:hAnsiTheme="majorBidi" w:cstheme="majorBidi"/>
          <w:i w:val="0"/>
          <w:iCs/>
          <w:color w:val="000000"/>
        </w:rPr>
        <w:t xml:space="preserve"> significantly less in MS women (p &lt; 0.05) who also experienced 5 years irregular menstruation.</w:t>
      </w:r>
      <w:r w:rsidR="00FE1C25" w:rsidRPr="00FE1C25">
        <w:rPr>
          <w:rFonts w:asciiTheme="majorBidi" w:hAnsiTheme="majorBidi" w:cstheme="majorBidi"/>
          <w:i w:val="0"/>
          <w:iCs/>
        </w:rPr>
        <w:t xml:space="preserve"> Since low levels of testosterone would increase pro-inflammatory activities and neural damage in women, we have initiated new therapeutic approaches using </w:t>
      </w:r>
      <w:proofErr w:type="spellStart"/>
      <w:proofErr w:type="gramStart"/>
      <w:r w:rsidR="00FE1C25" w:rsidRPr="00FE1C25">
        <w:rPr>
          <w:rFonts w:asciiTheme="majorBidi" w:hAnsiTheme="majorBidi" w:cstheme="majorBidi"/>
          <w:i w:val="0"/>
          <w:iCs/>
        </w:rPr>
        <w:t>a</w:t>
      </w:r>
      <w:proofErr w:type="spellEnd"/>
      <w:proofErr w:type="gramEnd"/>
      <w:r w:rsidR="00FE1C25" w:rsidRPr="00FE1C25">
        <w:rPr>
          <w:rFonts w:asciiTheme="majorBidi" w:hAnsiTheme="majorBidi" w:cstheme="majorBidi"/>
          <w:i w:val="0"/>
          <w:iCs/>
        </w:rPr>
        <w:t xml:space="preserve"> </w:t>
      </w:r>
      <w:r w:rsidR="00FE1C25" w:rsidRPr="00FE1C25">
        <w:rPr>
          <w:rFonts w:asciiTheme="majorBidi" w:hAnsiTheme="majorBidi" w:cstheme="majorBidi"/>
          <w:i w:val="0"/>
          <w:iCs/>
        </w:rPr>
        <w:t>existing herbal medicine with estrogenic activities (</w:t>
      </w:r>
      <w:proofErr w:type="spellStart"/>
      <w:r w:rsidR="00FE1C25" w:rsidRPr="00FE1C25">
        <w:rPr>
          <w:rFonts w:asciiTheme="majorBidi" w:hAnsiTheme="majorBidi" w:cstheme="majorBidi"/>
          <w:i w:val="0"/>
          <w:iCs/>
          <w:color w:val="222222"/>
          <w:shd w:val="clear" w:color="auto" w:fill="FFFFFF"/>
        </w:rPr>
        <w:t>Vitagnus</w:t>
      </w:r>
      <w:proofErr w:type="spellEnd"/>
      <w:r w:rsidR="00FE1C25" w:rsidRPr="00FE1C25">
        <w:rPr>
          <w:rFonts w:asciiTheme="majorBidi" w:hAnsiTheme="majorBidi" w:cstheme="majorBidi"/>
          <w:i w:val="0"/>
          <w:iCs/>
          <w:color w:val="222222"/>
          <w:shd w:val="clear" w:color="auto" w:fill="FFFFFF"/>
        </w:rPr>
        <w:t>)</w:t>
      </w:r>
      <w:r w:rsidR="00FE1C25" w:rsidRPr="00FE1C25">
        <w:rPr>
          <w:rFonts w:asciiTheme="majorBidi" w:hAnsiTheme="majorBidi" w:cstheme="majorBidi"/>
          <w:i w:val="0"/>
          <w:iCs/>
        </w:rPr>
        <w:t xml:space="preserve"> as personalized prevention and intervention protocols for 30 MS women patients.</w:t>
      </w:r>
      <w:r w:rsidR="00FE1C25" w:rsidRPr="00FE1C25">
        <w:rPr>
          <w:rFonts w:asciiTheme="majorBidi" w:hAnsiTheme="majorBidi" w:cstheme="majorBidi"/>
          <w:i w:val="0"/>
          <w:iCs/>
        </w:rPr>
        <w:t xml:space="preserve"> </w:t>
      </w:r>
      <w:r w:rsidR="00FE1C25" w:rsidRPr="00FE1C25">
        <w:rPr>
          <w:rFonts w:asciiTheme="majorBidi" w:hAnsiTheme="majorBidi" w:cstheme="majorBidi"/>
          <w:i w:val="0"/>
          <w:iCs/>
        </w:rPr>
        <w:t xml:space="preserve">After 3 months of taking </w:t>
      </w:r>
      <w:proofErr w:type="spellStart"/>
      <w:r w:rsidR="00FE1C25" w:rsidRPr="00FE1C25">
        <w:rPr>
          <w:rFonts w:asciiTheme="majorBidi" w:hAnsiTheme="majorBidi" w:cstheme="majorBidi"/>
          <w:i w:val="0"/>
          <w:iCs/>
        </w:rPr>
        <w:t>Vitagnus</w:t>
      </w:r>
      <w:proofErr w:type="spellEnd"/>
      <w:r w:rsidR="00FE1C25" w:rsidRPr="00FE1C25">
        <w:rPr>
          <w:rFonts w:asciiTheme="majorBidi" w:hAnsiTheme="majorBidi" w:cstheme="majorBidi"/>
          <w:i w:val="0"/>
          <w:iCs/>
        </w:rPr>
        <w:t xml:space="preserve"> tablets, most of </w:t>
      </w:r>
      <w:proofErr w:type="spellStart"/>
      <w:r w:rsidR="00FE1C25" w:rsidRPr="00FE1C25">
        <w:rPr>
          <w:rFonts w:asciiTheme="majorBidi" w:hAnsiTheme="majorBidi" w:cstheme="majorBidi"/>
          <w:i w:val="0"/>
          <w:iCs/>
        </w:rPr>
        <w:t>QoL</w:t>
      </w:r>
      <w:proofErr w:type="spellEnd"/>
      <w:r w:rsidR="00FE1C25" w:rsidRPr="00FE1C25">
        <w:rPr>
          <w:rFonts w:asciiTheme="majorBidi" w:hAnsiTheme="majorBidi" w:cstheme="majorBidi"/>
          <w:i w:val="0"/>
          <w:iCs/>
        </w:rPr>
        <w:t xml:space="preserve"> variables and serum testosterone levels were significantly increased and EDSS decreased (p&lt;0.05) compared to baseline levels.</w:t>
      </w:r>
      <w:r w:rsidR="00FE1C25" w:rsidRPr="00FE1C25">
        <w:rPr>
          <w:rFonts w:asciiTheme="majorBidi" w:hAnsiTheme="majorBidi" w:cstheme="majorBidi"/>
          <w:i w:val="0"/>
          <w:iCs/>
        </w:rPr>
        <w:t xml:space="preserve"> </w:t>
      </w:r>
      <w:r w:rsidR="00FE1C25" w:rsidRPr="00FE1C25">
        <w:rPr>
          <w:rFonts w:asciiTheme="majorBidi" w:hAnsiTheme="majorBidi" w:cstheme="majorBidi"/>
          <w:i w:val="0"/>
          <w:iCs/>
        </w:rPr>
        <w:t xml:space="preserve">Furthermore, EDSS score and the most MSQL-54 parameters improved such as limitation- emotional and physical parameters, pain, emotional well-being, energy, social function, health distress, sexual function, change in health, overall quality of life, satisfaction with sexual function, mental and physical health composite. The level of testosterone also significantly increased following three months prescription. </w:t>
      </w:r>
    </w:p>
    <w:p w:rsidR="0055648E" w:rsidRPr="00FE1C25" w:rsidRDefault="00FE1C25" w:rsidP="00FE1C25">
      <w:pPr>
        <w:pStyle w:val="Quote"/>
        <w:jc w:val="both"/>
        <w:rPr>
          <w:rFonts w:asciiTheme="majorBidi" w:hAnsiTheme="majorBidi" w:cstheme="majorBidi"/>
          <w:i w:val="0"/>
          <w:iCs/>
        </w:rPr>
      </w:pPr>
      <w:r w:rsidRPr="00FE1C25">
        <w:rPr>
          <w:rFonts w:asciiTheme="majorBidi" w:hAnsiTheme="majorBidi" w:cstheme="majorBidi"/>
          <w:b/>
          <w:bCs/>
          <w:i w:val="0"/>
          <w:iCs/>
        </w:rPr>
        <w:t>Conclusion:</w:t>
      </w:r>
      <w:r w:rsidRPr="00FE1C25">
        <w:rPr>
          <w:rFonts w:asciiTheme="majorBidi" w:hAnsiTheme="majorBidi" w:cstheme="majorBidi"/>
          <w:i w:val="0"/>
          <w:iCs/>
        </w:rPr>
        <w:t xml:space="preserve"> Our preliminary 3 months observations indicate the benefits</w:t>
      </w:r>
      <w:r w:rsidRPr="00FE1C25">
        <w:rPr>
          <w:rFonts w:asciiTheme="majorBidi" w:hAnsiTheme="majorBidi" w:cstheme="majorBidi"/>
          <w:i w:val="0"/>
          <w:iCs/>
        </w:rPr>
        <w:t xml:space="preserve"> of </w:t>
      </w:r>
      <w:proofErr w:type="gramStart"/>
      <w:r w:rsidRPr="00FE1C25">
        <w:rPr>
          <w:rFonts w:asciiTheme="majorBidi" w:hAnsiTheme="majorBidi" w:cstheme="majorBidi"/>
          <w:i w:val="0"/>
          <w:iCs/>
        </w:rPr>
        <w:t xml:space="preserve">VAC </w:t>
      </w:r>
      <w:r w:rsidRPr="00FE1C25">
        <w:rPr>
          <w:rFonts w:asciiTheme="majorBidi" w:hAnsiTheme="majorBidi" w:cstheme="majorBidi"/>
          <w:i w:val="0"/>
          <w:iCs/>
        </w:rPr>
        <w:t xml:space="preserve"> which</w:t>
      </w:r>
      <w:proofErr w:type="gramEnd"/>
      <w:r w:rsidRPr="00FE1C25">
        <w:rPr>
          <w:rFonts w:asciiTheme="majorBidi" w:hAnsiTheme="majorBidi" w:cstheme="majorBidi"/>
          <w:i w:val="0"/>
          <w:iCs/>
        </w:rPr>
        <w:t xml:space="preserve"> significantly </w:t>
      </w:r>
      <w:r w:rsidRPr="00FE1C25">
        <w:rPr>
          <w:rFonts w:asciiTheme="majorBidi" w:hAnsiTheme="majorBidi" w:cstheme="majorBidi"/>
          <w:i w:val="0"/>
          <w:iCs/>
        </w:rPr>
        <w:t xml:space="preserve"> improved the quality of life of patients</w:t>
      </w:r>
      <w:r w:rsidRPr="00FE1C25">
        <w:rPr>
          <w:rFonts w:asciiTheme="majorBidi" w:hAnsiTheme="majorBidi" w:cstheme="majorBidi"/>
          <w:i w:val="0"/>
          <w:iCs/>
        </w:rPr>
        <w:t xml:space="preserve"> which could be  considered as a promising new drug which ameliorates  the hormonal disrugulation and improve the quality of life in female MS patients.  </w:t>
      </w:r>
    </w:p>
    <w:p w:rsidR="0055648E" w:rsidRPr="00FE1C25" w:rsidRDefault="0055648E" w:rsidP="00272AEB">
      <w:pPr>
        <w:autoSpaceDE w:val="0"/>
        <w:autoSpaceDN w:val="0"/>
        <w:adjustRightInd w:val="0"/>
        <w:spacing w:after="0" w:line="240" w:lineRule="auto"/>
        <w:jc w:val="both"/>
        <w:rPr>
          <w:rFonts w:asciiTheme="majorBidi" w:hAnsiTheme="majorBidi" w:cstheme="majorBidi"/>
          <w:iCs/>
          <w:sz w:val="24"/>
          <w:szCs w:val="24"/>
        </w:rPr>
      </w:pPr>
    </w:p>
    <w:sectPr w:rsidR="0055648E" w:rsidRPr="00FE1C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159" w:rsidRDefault="00A15159" w:rsidP="00A44461">
      <w:pPr>
        <w:spacing w:after="0" w:line="240" w:lineRule="auto"/>
      </w:pPr>
      <w:r>
        <w:separator/>
      </w:r>
    </w:p>
  </w:endnote>
  <w:endnote w:type="continuationSeparator" w:id="0">
    <w:p w:rsidR="00A15159" w:rsidRDefault="00A15159" w:rsidP="00A4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159" w:rsidRDefault="00A15159" w:rsidP="00A44461">
      <w:pPr>
        <w:spacing w:after="0" w:line="240" w:lineRule="auto"/>
      </w:pPr>
      <w:r>
        <w:separator/>
      </w:r>
    </w:p>
  </w:footnote>
  <w:footnote w:type="continuationSeparator" w:id="0">
    <w:p w:rsidR="00A15159" w:rsidRDefault="00A15159" w:rsidP="00A444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81F"/>
    <w:rsid w:val="000B1673"/>
    <w:rsid w:val="001C2217"/>
    <w:rsid w:val="00272AEB"/>
    <w:rsid w:val="00334C10"/>
    <w:rsid w:val="00390296"/>
    <w:rsid w:val="003F6769"/>
    <w:rsid w:val="00402072"/>
    <w:rsid w:val="004D381F"/>
    <w:rsid w:val="0055648E"/>
    <w:rsid w:val="005A6AA7"/>
    <w:rsid w:val="005E623A"/>
    <w:rsid w:val="005F471C"/>
    <w:rsid w:val="0069424D"/>
    <w:rsid w:val="006A5B48"/>
    <w:rsid w:val="006F0D8C"/>
    <w:rsid w:val="007138D7"/>
    <w:rsid w:val="007C49A2"/>
    <w:rsid w:val="008A53CF"/>
    <w:rsid w:val="009A33C3"/>
    <w:rsid w:val="00A15159"/>
    <w:rsid w:val="00A44461"/>
    <w:rsid w:val="00B53A90"/>
    <w:rsid w:val="00CB1704"/>
    <w:rsid w:val="00CC1D20"/>
    <w:rsid w:val="00CD5915"/>
    <w:rsid w:val="00D87261"/>
    <w:rsid w:val="00ED2278"/>
    <w:rsid w:val="00FE1C25"/>
    <w:rsid w:val="00FF53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81F"/>
    <w:pPr>
      <w:spacing w:after="200" w:line="276" w:lineRule="auto"/>
    </w:pPr>
    <w:rPr>
      <w:kern w:val="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461"/>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A44461"/>
    <w:rPr>
      <w:kern w:val="0"/>
      <w:sz w:val="18"/>
      <w:szCs w:val="18"/>
      <w:lang w:eastAsia="en-US"/>
    </w:rPr>
  </w:style>
  <w:style w:type="paragraph" w:styleId="Footer">
    <w:name w:val="footer"/>
    <w:basedOn w:val="Normal"/>
    <w:link w:val="FooterChar"/>
    <w:uiPriority w:val="99"/>
    <w:unhideWhenUsed/>
    <w:rsid w:val="00A44461"/>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A44461"/>
    <w:rPr>
      <w:kern w:val="0"/>
      <w:sz w:val="18"/>
      <w:szCs w:val="18"/>
      <w:lang w:eastAsia="en-US"/>
    </w:rPr>
  </w:style>
  <w:style w:type="character" w:customStyle="1" w:styleId="highlight">
    <w:name w:val="highlight"/>
    <w:basedOn w:val="DefaultParagraphFont"/>
    <w:rsid w:val="006F0D8C"/>
  </w:style>
  <w:style w:type="paragraph" w:styleId="Quote">
    <w:name w:val="Quote"/>
    <w:basedOn w:val="Normal"/>
    <w:next w:val="Normal"/>
    <w:link w:val="QuoteChar"/>
    <w:uiPriority w:val="29"/>
    <w:qFormat/>
    <w:rsid w:val="0055648E"/>
    <w:pPr>
      <w:spacing w:after="0" w:line="240" w:lineRule="auto"/>
    </w:pPr>
    <w:rPr>
      <w:rFonts w:cs="Times New Roman"/>
      <w:i/>
      <w:sz w:val="24"/>
      <w:szCs w:val="24"/>
      <w:lang w:bidi="fa-IR"/>
    </w:rPr>
  </w:style>
  <w:style w:type="character" w:customStyle="1" w:styleId="QuoteChar">
    <w:name w:val="Quote Char"/>
    <w:basedOn w:val="DefaultParagraphFont"/>
    <w:link w:val="Quote"/>
    <w:uiPriority w:val="29"/>
    <w:rsid w:val="0055648E"/>
    <w:rPr>
      <w:rFonts w:cs="Times New Roman"/>
      <w:i/>
      <w:kern w:val="0"/>
      <w:sz w:val="24"/>
      <w:szCs w:val="24"/>
      <w:lang w:eastAsia="en-US" w:bidi="fa-IR"/>
    </w:rPr>
  </w:style>
  <w:style w:type="character" w:styleId="Hyperlink">
    <w:name w:val="Hyperlink"/>
    <w:basedOn w:val="DefaultParagraphFont"/>
    <w:uiPriority w:val="99"/>
    <w:semiHidden/>
    <w:unhideWhenUsed/>
    <w:rsid w:val="00FE1C2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81F"/>
    <w:pPr>
      <w:spacing w:after="200" w:line="276" w:lineRule="auto"/>
    </w:pPr>
    <w:rPr>
      <w:kern w:val="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461"/>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A44461"/>
    <w:rPr>
      <w:kern w:val="0"/>
      <w:sz w:val="18"/>
      <w:szCs w:val="18"/>
      <w:lang w:eastAsia="en-US"/>
    </w:rPr>
  </w:style>
  <w:style w:type="paragraph" w:styleId="Footer">
    <w:name w:val="footer"/>
    <w:basedOn w:val="Normal"/>
    <w:link w:val="FooterChar"/>
    <w:uiPriority w:val="99"/>
    <w:unhideWhenUsed/>
    <w:rsid w:val="00A44461"/>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A44461"/>
    <w:rPr>
      <w:kern w:val="0"/>
      <w:sz w:val="18"/>
      <w:szCs w:val="18"/>
      <w:lang w:eastAsia="en-US"/>
    </w:rPr>
  </w:style>
  <w:style w:type="character" w:customStyle="1" w:styleId="highlight">
    <w:name w:val="highlight"/>
    <w:basedOn w:val="DefaultParagraphFont"/>
    <w:rsid w:val="006F0D8C"/>
  </w:style>
  <w:style w:type="paragraph" w:styleId="Quote">
    <w:name w:val="Quote"/>
    <w:basedOn w:val="Normal"/>
    <w:next w:val="Normal"/>
    <w:link w:val="QuoteChar"/>
    <w:uiPriority w:val="29"/>
    <w:qFormat/>
    <w:rsid w:val="0055648E"/>
    <w:pPr>
      <w:spacing w:after="0" w:line="240" w:lineRule="auto"/>
    </w:pPr>
    <w:rPr>
      <w:rFonts w:cs="Times New Roman"/>
      <w:i/>
      <w:sz w:val="24"/>
      <w:szCs w:val="24"/>
      <w:lang w:bidi="fa-IR"/>
    </w:rPr>
  </w:style>
  <w:style w:type="character" w:customStyle="1" w:styleId="QuoteChar">
    <w:name w:val="Quote Char"/>
    <w:basedOn w:val="DefaultParagraphFont"/>
    <w:link w:val="Quote"/>
    <w:uiPriority w:val="29"/>
    <w:rsid w:val="0055648E"/>
    <w:rPr>
      <w:rFonts w:cs="Times New Roman"/>
      <w:i/>
      <w:kern w:val="0"/>
      <w:sz w:val="24"/>
      <w:szCs w:val="24"/>
      <w:lang w:eastAsia="en-US" w:bidi="fa-IR"/>
    </w:rPr>
  </w:style>
  <w:style w:type="character" w:styleId="Hyperlink">
    <w:name w:val="Hyperlink"/>
    <w:basedOn w:val="DefaultParagraphFont"/>
    <w:uiPriority w:val="99"/>
    <w:semiHidden/>
    <w:unhideWhenUsed/>
    <w:rsid w:val="00FE1C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014030">
      <w:bodyDiv w:val="1"/>
      <w:marLeft w:val="0"/>
      <w:marRight w:val="0"/>
      <w:marTop w:val="0"/>
      <w:marBottom w:val="0"/>
      <w:divBdr>
        <w:top w:val="none" w:sz="0" w:space="0" w:color="auto"/>
        <w:left w:val="none" w:sz="0" w:space="0" w:color="auto"/>
        <w:bottom w:val="none" w:sz="0" w:space="0" w:color="auto"/>
        <w:right w:val="none" w:sz="0" w:space="0" w:color="auto"/>
      </w:divBdr>
    </w:div>
    <w:div w:id="1043292788">
      <w:bodyDiv w:val="1"/>
      <w:marLeft w:val="0"/>
      <w:marRight w:val="0"/>
      <w:marTop w:val="0"/>
      <w:marBottom w:val="0"/>
      <w:divBdr>
        <w:top w:val="none" w:sz="0" w:space="0" w:color="auto"/>
        <w:left w:val="none" w:sz="0" w:space="0" w:color="auto"/>
        <w:bottom w:val="none" w:sz="0" w:space="0" w:color="auto"/>
        <w:right w:val="none" w:sz="0" w:space="0" w:color="auto"/>
      </w:divBdr>
    </w:div>
    <w:div w:id="129486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pideharbabi@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CD36A-6051-4A72-AF5F-8D64AFC37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Au</dc:creator>
  <cp:lastModifiedBy>DearUser</cp:lastModifiedBy>
  <cp:revision>3</cp:revision>
  <dcterms:created xsi:type="dcterms:W3CDTF">2019-12-14T21:33:00Z</dcterms:created>
  <dcterms:modified xsi:type="dcterms:W3CDTF">2019-12-14T21:36:00Z</dcterms:modified>
</cp:coreProperties>
</file>