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6BE1" w:rsidRDefault="000C6BE1" w:rsidP="000C6BE1">
      <w:pPr>
        <w:pStyle w:val="Default"/>
        <w:spacing w:before="120" w:after="120" w:line="300" w:lineRule="atLeast"/>
        <w:rPr>
          <w:rFonts w:ascii="Times New Roman" w:hAnsi="Times New Roman" w:cs="Times New Roman"/>
          <w:b/>
          <w:color w:val="auto"/>
          <w:sz w:val="22"/>
          <w:szCs w:val="22"/>
        </w:rPr>
      </w:pPr>
      <w:r w:rsidRPr="000C6BE1">
        <w:rPr>
          <w:rFonts w:ascii="Times New Roman" w:hAnsi="Times New Roman" w:cs="Times New Roman"/>
          <w:b/>
          <w:color w:val="auto"/>
          <w:sz w:val="22"/>
          <w:szCs w:val="22"/>
        </w:rPr>
        <w:t xml:space="preserve">Analysis </w:t>
      </w:r>
      <w:r w:rsidR="001F3179" w:rsidRPr="000C6BE1">
        <w:rPr>
          <w:rFonts w:ascii="Times New Roman" w:hAnsi="Times New Roman" w:cs="Times New Roman"/>
          <w:b/>
          <w:color w:val="auto"/>
          <w:sz w:val="22"/>
          <w:szCs w:val="22"/>
        </w:rPr>
        <w:t xml:space="preserve">of </w:t>
      </w:r>
      <w:r w:rsidR="001F3179">
        <w:rPr>
          <w:rFonts w:ascii="Times New Roman" w:hAnsi="Times New Roman" w:cs="Times New Roman"/>
          <w:b/>
          <w:color w:val="auto"/>
          <w:sz w:val="22"/>
          <w:szCs w:val="22"/>
        </w:rPr>
        <w:t>NTCP</w:t>
      </w:r>
      <w:r w:rsidRPr="000C6BE1">
        <w:rPr>
          <w:rFonts w:ascii="Times New Roman" w:hAnsi="Times New Roman" w:cs="Times New Roman"/>
          <w:b/>
          <w:color w:val="auto"/>
          <w:sz w:val="22"/>
          <w:szCs w:val="22"/>
        </w:rPr>
        <w:t xml:space="preserve"> Based </w:t>
      </w:r>
      <w:r w:rsidR="00FA77A4">
        <w:rPr>
          <w:rFonts w:ascii="Times New Roman" w:hAnsi="Times New Roman" w:cs="Times New Roman"/>
          <w:b/>
          <w:color w:val="auto"/>
          <w:sz w:val="22"/>
          <w:szCs w:val="22"/>
        </w:rPr>
        <w:t>Radiobiological Models:  A Syste</w:t>
      </w:r>
      <w:r w:rsidRPr="000C6BE1">
        <w:rPr>
          <w:rFonts w:ascii="Times New Roman" w:hAnsi="Times New Roman" w:cs="Times New Roman"/>
          <w:b/>
          <w:color w:val="auto"/>
          <w:sz w:val="22"/>
          <w:szCs w:val="22"/>
        </w:rPr>
        <w:t>matic Review of Literature</w:t>
      </w:r>
      <w:r w:rsidR="001051FF">
        <w:rPr>
          <w:rFonts w:ascii="Times New Roman" w:hAnsi="Times New Roman" w:cs="Times New Roman"/>
          <w:b/>
          <w:color w:val="auto"/>
          <w:sz w:val="22"/>
          <w:szCs w:val="22"/>
        </w:rPr>
        <w:t>s</w:t>
      </w:r>
    </w:p>
    <w:p w:rsidR="00FA77A4" w:rsidRPr="00596FE8" w:rsidRDefault="000C6BE1" w:rsidP="00FA77A4">
      <w:pPr>
        <w:autoSpaceDE w:val="0"/>
        <w:autoSpaceDN w:val="0"/>
        <w:adjustRightInd w:val="0"/>
        <w:spacing w:before="120" w:after="120" w:line="300" w:lineRule="atLeast"/>
        <w:jc w:val="both"/>
        <w:rPr>
          <w:rFonts w:ascii="Times New Roman" w:hAnsi="Times New Roman" w:cs="Times New Roman"/>
          <w:bCs/>
        </w:rPr>
      </w:pPr>
      <w:r w:rsidRPr="005C4857">
        <w:rPr>
          <w:rFonts w:ascii="Times New Roman" w:hAnsi="Times New Roman" w:cs="Times New Roman"/>
          <w:bCs/>
        </w:rPr>
        <w:t xml:space="preserve"> </w:t>
      </w:r>
      <w:r w:rsidRPr="005C4857">
        <w:rPr>
          <w:rFonts w:ascii="Times New Roman" w:hAnsi="Times New Roman" w:cs="Times New Roman"/>
          <w:b/>
          <w:bCs/>
        </w:rPr>
        <w:t>Rahman</w:t>
      </w:r>
      <w:r w:rsidR="005C4857" w:rsidRPr="005C4857">
        <w:rPr>
          <w:rFonts w:ascii="Times New Roman" w:hAnsi="Times New Roman" w:cs="Times New Roman"/>
          <w:b/>
          <w:bCs/>
        </w:rPr>
        <w:t xml:space="preserve"> M</w:t>
      </w:r>
      <w:r w:rsidRPr="005C4857">
        <w:rPr>
          <w:rFonts w:ascii="Times New Roman" w:hAnsi="Times New Roman" w:cs="Times New Roman"/>
          <w:b/>
          <w:bCs/>
          <w:vertAlign w:val="superscript"/>
        </w:rPr>
        <w:t>1</w:t>
      </w:r>
      <w:r w:rsidRPr="005C4857">
        <w:rPr>
          <w:rFonts w:ascii="Times New Roman" w:hAnsi="Times New Roman" w:cs="Times New Roman"/>
          <w:b/>
          <w:bCs/>
        </w:rPr>
        <w:t>,</w:t>
      </w:r>
      <w:r w:rsidR="00027ABF" w:rsidRPr="00027ABF">
        <w:rPr>
          <w:rFonts w:ascii="Times New Roman" w:hAnsi="Times New Roman" w:cs="Times New Roman"/>
          <w:sz w:val="24"/>
          <w:szCs w:val="24"/>
        </w:rPr>
        <w:t xml:space="preserve"> </w:t>
      </w:r>
      <w:r w:rsidR="00ED5BBE" w:rsidRPr="000C6BE1">
        <w:rPr>
          <w:rFonts w:ascii="Times New Roman" w:hAnsi="Times New Roman" w:cs="Times New Roman"/>
          <w:bCs/>
        </w:rPr>
        <w:t>Kausar</w:t>
      </w:r>
      <w:r w:rsidR="00ED5BBE">
        <w:rPr>
          <w:rFonts w:ascii="Times New Roman" w:hAnsi="Times New Roman" w:cs="Times New Roman"/>
          <w:bCs/>
        </w:rPr>
        <w:t xml:space="preserve"> A</w:t>
      </w:r>
      <w:r w:rsidR="00ED5BBE">
        <w:rPr>
          <w:rFonts w:ascii="Times New Roman" w:hAnsi="Times New Roman" w:cs="Times New Roman"/>
          <w:bCs/>
          <w:vertAlign w:val="superscript"/>
        </w:rPr>
        <w:t>1</w:t>
      </w:r>
      <w:r w:rsidR="00ED5BBE" w:rsidRPr="000C6BE1">
        <w:rPr>
          <w:rFonts w:ascii="Times New Roman" w:hAnsi="Times New Roman" w:cs="Times New Roman"/>
          <w:bCs/>
        </w:rPr>
        <w:t>,</w:t>
      </w:r>
      <w:r w:rsidR="00ED5BBE">
        <w:rPr>
          <w:rFonts w:ascii="Times New Roman" w:hAnsi="Times New Roman" w:cs="Times New Roman"/>
          <w:bCs/>
          <w:vertAlign w:val="superscript"/>
        </w:rPr>
        <w:t xml:space="preserve"> </w:t>
      </w:r>
      <w:r w:rsidRPr="000C6BE1">
        <w:rPr>
          <w:rFonts w:ascii="Times New Roman" w:hAnsi="Times New Roman" w:cs="Times New Roman"/>
        </w:rPr>
        <w:t>Azhari</w:t>
      </w:r>
      <w:r w:rsidR="005C4857">
        <w:rPr>
          <w:rFonts w:ascii="Times New Roman" w:hAnsi="Times New Roman" w:cs="Times New Roman"/>
        </w:rPr>
        <w:t xml:space="preserve"> HA</w:t>
      </w:r>
      <w:r w:rsidR="005C4857">
        <w:rPr>
          <w:rFonts w:ascii="Times New Roman" w:hAnsi="Times New Roman" w:cs="Times New Roman"/>
          <w:vertAlign w:val="superscript"/>
        </w:rPr>
        <w:t>1</w:t>
      </w:r>
      <w:r w:rsidRPr="000C6BE1">
        <w:rPr>
          <w:rFonts w:ascii="Times New Roman" w:hAnsi="Times New Roman" w:cs="Times New Roman"/>
        </w:rPr>
        <w:t>,</w:t>
      </w:r>
      <w:r w:rsidRPr="000C6BE1">
        <w:rPr>
          <w:rFonts w:ascii="Times New Roman" w:hAnsi="Times New Roman" w:cs="Times New Roman"/>
          <w:bCs/>
        </w:rPr>
        <w:t xml:space="preserve"> Zakaria</w:t>
      </w:r>
      <w:r w:rsidR="005C4857">
        <w:rPr>
          <w:rFonts w:ascii="Times New Roman" w:hAnsi="Times New Roman" w:cs="Times New Roman"/>
          <w:bCs/>
        </w:rPr>
        <w:t xml:space="preserve"> GA</w:t>
      </w:r>
      <w:r w:rsidR="005C4857">
        <w:rPr>
          <w:rFonts w:ascii="Times New Roman" w:hAnsi="Times New Roman" w:cs="Times New Roman"/>
          <w:bCs/>
          <w:vertAlign w:val="superscript"/>
        </w:rPr>
        <w:t>1,</w:t>
      </w:r>
      <w:r w:rsidR="00ED5BBE">
        <w:rPr>
          <w:rFonts w:ascii="Times New Roman" w:hAnsi="Times New Roman" w:cs="Times New Roman"/>
          <w:bCs/>
          <w:vertAlign w:val="superscript"/>
        </w:rPr>
        <w:t xml:space="preserve"> </w:t>
      </w:r>
      <w:r w:rsidR="005C4857">
        <w:rPr>
          <w:rFonts w:ascii="Times New Roman" w:hAnsi="Times New Roman" w:cs="Times New Roman"/>
          <w:bCs/>
          <w:vertAlign w:val="superscript"/>
        </w:rPr>
        <w:t>2</w:t>
      </w:r>
      <w:r>
        <w:rPr>
          <w:rFonts w:ascii="Times New Roman" w:hAnsi="Times New Roman" w:cs="Times New Roman"/>
          <w:bCs/>
        </w:rPr>
        <w:t>.</w:t>
      </w:r>
      <w:r w:rsidR="00FA77A4" w:rsidRPr="00FA77A4">
        <w:rPr>
          <w:rFonts w:cs="Arial"/>
          <w:bCs/>
          <w:vertAlign w:val="superscript"/>
        </w:rPr>
        <w:t>1</w:t>
      </w:r>
      <w:r w:rsidR="00FA77A4" w:rsidRPr="00FA77A4">
        <w:rPr>
          <w:rFonts w:cs="Arial"/>
          <w:bCs/>
        </w:rPr>
        <w:t xml:space="preserve">Dept of </w:t>
      </w:r>
      <w:r w:rsidR="00FA77A4" w:rsidRPr="00FA77A4">
        <w:rPr>
          <w:rFonts w:cs="Arial"/>
        </w:rPr>
        <w:t>Medical Physics and Biomedical Engineering, Gono Bishwabidyalay, Savar,</w:t>
      </w:r>
      <w:r w:rsidR="00ED797E">
        <w:rPr>
          <w:rFonts w:cs="Arial"/>
        </w:rPr>
        <w:t xml:space="preserve"> </w:t>
      </w:r>
      <w:r w:rsidR="00FA77A4" w:rsidRPr="00FA77A4">
        <w:rPr>
          <w:rFonts w:cs="Arial"/>
        </w:rPr>
        <w:t>Dhaka</w:t>
      </w:r>
      <w:r w:rsidR="0005462C">
        <w:rPr>
          <w:rFonts w:cs="Arial"/>
        </w:rPr>
        <w:t xml:space="preserve"> </w:t>
      </w:r>
      <w:r w:rsidR="00FA77A4" w:rsidRPr="00FA77A4">
        <w:rPr>
          <w:rFonts w:cs="Arial"/>
        </w:rPr>
        <w:t>, Bangladesh.</w:t>
      </w:r>
    </w:p>
    <w:p w:rsidR="00ED797E" w:rsidRPr="00FA77A4" w:rsidRDefault="00ED797E" w:rsidP="00FA77A4">
      <w:pPr>
        <w:autoSpaceDE w:val="0"/>
        <w:autoSpaceDN w:val="0"/>
        <w:adjustRightInd w:val="0"/>
        <w:spacing w:before="120" w:after="120" w:line="300" w:lineRule="atLeast"/>
        <w:jc w:val="both"/>
        <w:rPr>
          <w:rFonts w:cs="Arial"/>
          <w:bCs/>
        </w:rPr>
      </w:pPr>
      <w:r>
        <w:rPr>
          <w:rFonts w:cs="Arial"/>
          <w:vertAlign w:val="superscript"/>
        </w:rPr>
        <w:t>1,2</w:t>
      </w:r>
      <w:r>
        <w:rPr>
          <w:rFonts w:cs="Arial"/>
        </w:rPr>
        <w:t xml:space="preserve">Dept. of medical Radiation Physics , Gummersbach Hospital , Academic Teaching Hospital of the University of Cologne, </w:t>
      </w:r>
      <w:r w:rsidR="00A903A5">
        <w:rPr>
          <w:rFonts w:cs="Arial"/>
        </w:rPr>
        <w:t>Gummersbach</w:t>
      </w:r>
      <w:r w:rsidR="00123CC5">
        <w:rPr>
          <w:rFonts w:cs="Arial"/>
        </w:rPr>
        <w:t xml:space="preserve"> </w:t>
      </w:r>
      <w:r>
        <w:rPr>
          <w:rFonts w:cs="Arial"/>
        </w:rPr>
        <w:t>, Germany.</w:t>
      </w:r>
    </w:p>
    <w:p w:rsidR="00E40C32" w:rsidRPr="00FA77A4" w:rsidRDefault="000655F2" w:rsidP="00FA77A4">
      <w:pPr>
        <w:jc w:val="center"/>
        <w:rPr>
          <w:rFonts w:ascii="Times New Roman" w:hAnsi="Times New Roman" w:cs="Times New Roman"/>
          <w:b/>
          <w:bCs/>
          <w:sz w:val="28"/>
          <w:szCs w:val="28"/>
        </w:rPr>
      </w:pPr>
      <w:r w:rsidRPr="00FA77A4">
        <w:rPr>
          <w:rFonts w:ascii="Times New Roman" w:hAnsi="Times New Roman" w:cs="Times New Roman"/>
          <w:b/>
          <w:bCs/>
          <w:sz w:val="28"/>
          <w:szCs w:val="28"/>
        </w:rPr>
        <w:t>ABSTRACT</w:t>
      </w:r>
    </w:p>
    <w:p w:rsidR="001051FF" w:rsidRPr="00DB13EF" w:rsidRDefault="001051FF" w:rsidP="001051FF">
      <w:pPr>
        <w:spacing w:before="240" w:after="120"/>
        <w:jc w:val="both"/>
        <w:rPr>
          <w:rFonts w:ascii="Arial" w:hAnsi="Arial" w:cs="Arial"/>
        </w:rPr>
      </w:pPr>
      <w:r w:rsidRPr="004E5904">
        <w:rPr>
          <w:rFonts w:ascii="Arial" w:hAnsi="Arial" w:cs="Arial"/>
          <w:b/>
          <w:bCs/>
        </w:rPr>
        <w:t>Background and purpose</w:t>
      </w:r>
      <w:r w:rsidRPr="004E5904">
        <w:rPr>
          <w:rFonts w:ascii="Arial" w:hAnsi="Arial" w:cs="Arial"/>
          <w:b/>
        </w:rPr>
        <w:t>:</w:t>
      </w:r>
      <w:r w:rsidRPr="00DB13EF">
        <w:rPr>
          <w:rFonts w:ascii="Arial" w:hAnsi="Arial" w:cs="Arial"/>
        </w:rPr>
        <w:t xml:space="preserve"> To achieve the optimal treatment goal</w:t>
      </w:r>
      <w:r>
        <w:rPr>
          <w:rFonts w:ascii="Arial" w:hAnsi="Arial" w:cs="Arial"/>
        </w:rPr>
        <w:t>, radiobiological parameters has</w:t>
      </w:r>
      <w:r w:rsidRPr="00DB13EF">
        <w:rPr>
          <w:rFonts w:ascii="Arial" w:hAnsi="Arial" w:cs="Arial"/>
        </w:rPr>
        <w:t xml:space="preserve"> to evaluate and predict the outcome of this treatment plan in terms of both TCP and NTCP. Different types of</w:t>
      </w:r>
      <w:r>
        <w:rPr>
          <w:rFonts w:ascii="Arial" w:hAnsi="Arial" w:cs="Arial"/>
        </w:rPr>
        <w:t xml:space="preserve"> radiobiological model were used</w:t>
      </w:r>
      <w:r w:rsidRPr="00DB13EF">
        <w:rPr>
          <w:rFonts w:ascii="Arial" w:hAnsi="Arial" w:cs="Arial"/>
        </w:rPr>
        <w:t xml:space="preserve"> to achieve prescribed treatment dose of radiation during the tumor</w:t>
      </w:r>
      <w:r>
        <w:rPr>
          <w:rFonts w:ascii="Arial" w:hAnsi="Arial" w:cs="Arial"/>
        </w:rPr>
        <w:t xml:space="preserve"> control. Where TCP models play</w:t>
      </w:r>
      <w:r w:rsidRPr="00DB13EF">
        <w:rPr>
          <w:rFonts w:ascii="Arial" w:hAnsi="Arial" w:cs="Arial"/>
        </w:rPr>
        <w:t xml:space="preserve"> </w:t>
      </w:r>
      <w:proofErr w:type="gramStart"/>
      <w:r w:rsidRPr="00DB13EF">
        <w:rPr>
          <w:rFonts w:ascii="Arial" w:hAnsi="Arial" w:cs="Arial"/>
        </w:rPr>
        <w:t>a</w:t>
      </w:r>
      <w:proofErr w:type="gramEnd"/>
      <w:r w:rsidRPr="00DB13EF">
        <w:rPr>
          <w:rFonts w:ascii="Arial" w:hAnsi="Arial" w:cs="Arial"/>
        </w:rPr>
        <w:t xml:space="preserve"> important role in order to achieve desired dose to the tumor.  A suitable NTC</w:t>
      </w:r>
      <w:r>
        <w:rPr>
          <w:rFonts w:ascii="Arial" w:hAnsi="Arial" w:cs="Arial"/>
        </w:rPr>
        <w:t>P model was</w:t>
      </w:r>
      <w:r w:rsidRPr="00DB13EF">
        <w:rPr>
          <w:rFonts w:ascii="Arial" w:hAnsi="Arial" w:cs="Arial"/>
        </w:rPr>
        <w:t xml:space="preserve"> theoretically found among different models that can be used in treatment plan evaluation. </w:t>
      </w:r>
    </w:p>
    <w:p w:rsidR="001051FF" w:rsidRPr="00DB13EF" w:rsidRDefault="001051FF" w:rsidP="001051FF">
      <w:pPr>
        <w:spacing w:before="240" w:after="120"/>
        <w:jc w:val="both"/>
        <w:rPr>
          <w:rFonts w:ascii="Arial" w:hAnsi="Arial" w:cs="Arial"/>
        </w:rPr>
      </w:pPr>
      <w:r w:rsidRPr="004E5904">
        <w:rPr>
          <w:rFonts w:ascii="Arial" w:hAnsi="Arial" w:cs="Arial"/>
          <w:b/>
          <w:bCs/>
        </w:rPr>
        <w:t>Materials and Methods:</w:t>
      </w:r>
      <w:r w:rsidRPr="00C61762">
        <w:rPr>
          <w:rFonts w:ascii="Arial" w:hAnsi="Arial" w:cs="Arial"/>
        </w:rPr>
        <w:t xml:space="preserve"> </w:t>
      </w:r>
      <w:r>
        <w:rPr>
          <w:rFonts w:ascii="Arial" w:hAnsi="Arial" w:cs="Arial"/>
        </w:rPr>
        <w:t>T</w:t>
      </w:r>
      <w:r w:rsidRPr="00DB13EF">
        <w:rPr>
          <w:rFonts w:ascii="Arial" w:hAnsi="Arial" w:cs="Arial"/>
        </w:rPr>
        <w:t>heo</w:t>
      </w:r>
      <w:r>
        <w:rPr>
          <w:rFonts w:ascii="Arial" w:hAnsi="Arial" w:cs="Arial"/>
        </w:rPr>
        <w:t>retically,</w:t>
      </w:r>
      <w:r w:rsidRPr="00DB13EF">
        <w:rPr>
          <w:rFonts w:ascii="Arial" w:hAnsi="Arial" w:cs="Arial"/>
          <w:bCs/>
        </w:rPr>
        <w:t xml:space="preserve"> </w:t>
      </w:r>
      <w:r>
        <w:rPr>
          <w:rFonts w:ascii="Arial" w:hAnsi="Arial" w:cs="Arial"/>
        </w:rPr>
        <w:t>Six different r</w:t>
      </w:r>
      <w:r w:rsidRPr="00DB13EF">
        <w:rPr>
          <w:rFonts w:ascii="Arial" w:hAnsi="Arial" w:cs="Arial"/>
        </w:rPr>
        <w:t>adiobiological</w:t>
      </w:r>
      <w:r>
        <w:rPr>
          <w:rFonts w:ascii="Arial" w:hAnsi="Arial" w:cs="Arial"/>
        </w:rPr>
        <w:t xml:space="preserve"> dose response   </w:t>
      </w:r>
      <w:r w:rsidRPr="00DB13EF">
        <w:rPr>
          <w:rFonts w:ascii="Arial" w:hAnsi="Arial" w:cs="Arial"/>
        </w:rPr>
        <w:t>models were analyzed in this project</w:t>
      </w:r>
      <w:r>
        <w:rPr>
          <w:rFonts w:ascii="Arial" w:hAnsi="Arial" w:cs="Arial"/>
        </w:rPr>
        <w:t>. Lyman–Kutcher–Burman</w:t>
      </w:r>
      <w:r w:rsidRPr="00DB13EF">
        <w:rPr>
          <w:rFonts w:ascii="Arial" w:hAnsi="Arial" w:cs="Arial"/>
        </w:rPr>
        <w:t>,</w:t>
      </w:r>
      <w:r>
        <w:rPr>
          <w:rFonts w:ascii="Arial" w:hAnsi="Arial" w:cs="Arial"/>
        </w:rPr>
        <w:t xml:space="preserve"> </w:t>
      </w:r>
      <w:r w:rsidRPr="00DB13EF">
        <w:rPr>
          <w:rFonts w:ascii="Arial" w:hAnsi="Arial" w:cs="Arial"/>
        </w:rPr>
        <w:t>Critical el</w:t>
      </w:r>
      <w:r>
        <w:rPr>
          <w:rFonts w:ascii="Arial" w:hAnsi="Arial" w:cs="Arial"/>
        </w:rPr>
        <w:t>ement</w:t>
      </w:r>
      <w:r w:rsidRPr="00DB13EF">
        <w:rPr>
          <w:rFonts w:ascii="Arial" w:hAnsi="Arial" w:cs="Arial"/>
        </w:rPr>
        <w:t>,</w:t>
      </w:r>
      <w:r>
        <w:rPr>
          <w:rFonts w:ascii="Arial" w:hAnsi="Arial" w:cs="Arial"/>
        </w:rPr>
        <w:t xml:space="preserve"> </w:t>
      </w:r>
      <w:r w:rsidRPr="00DB13EF">
        <w:rPr>
          <w:rFonts w:ascii="Arial" w:hAnsi="Arial" w:cs="Arial"/>
        </w:rPr>
        <w:t>critic</w:t>
      </w:r>
      <w:r>
        <w:rPr>
          <w:rFonts w:ascii="Arial" w:hAnsi="Arial" w:cs="Arial"/>
        </w:rPr>
        <w:t>al volume, Relative Seriality, P</w:t>
      </w:r>
      <w:r w:rsidRPr="00DB13EF">
        <w:rPr>
          <w:rFonts w:ascii="Arial" w:hAnsi="Arial" w:cs="Arial"/>
        </w:rPr>
        <w:t>arallel architecture, Weibul</w:t>
      </w:r>
      <w:r>
        <w:rPr>
          <w:rFonts w:ascii="Arial" w:hAnsi="Arial" w:cs="Arial"/>
        </w:rPr>
        <w:t>l distribution m</w:t>
      </w:r>
      <w:r w:rsidRPr="00DB13EF">
        <w:rPr>
          <w:rFonts w:ascii="Arial" w:hAnsi="Arial" w:cs="Arial"/>
        </w:rPr>
        <w:t>odel</w:t>
      </w:r>
      <w:r>
        <w:rPr>
          <w:rFonts w:ascii="Arial" w:hAnsi="Arial" w:cs="Arial"/>
        </w:rPr>
        <w:t>s</w:t>
      </w:r>
      <w:r w:rsidRPr="00DB13EF">
        <w:rPr>
          <w:rFonts w:ascii="Arial" w:hAnsi="Arial" w:cs="Arial"/>
        </w:rPr>
        <w:t xml:space="preserve"> we</w:t>
      </w:r>
      <w:r>
        <w:rPr>
          <w:rFonts w:ascii="Arial" w:hAnsi="Arial" w:cs="Arial"/>
        </w:rPr>
        <w:t>re analyzed from the derivation</w:t>
      </w:r>
      <w:r w:rsidRPr="00DB13EF">
        <w:rPr>
          <w:rFonts w:ascii="Arial" w:hAnsi="Arial" w:cs="Arial"/>
        </w:rPr>
        <w:t>.</w:t>
      </w:r>
      <w:r w:rsidRPr="005A37E4">
        <w:rPr>
          <w:rFonts w:ascii="Arial" w:hAnsi="Arial" w:cs="Arial"/>
        </w:rPr>
        <w:t xml:space="preserve"> </w:t>
      </w:r>
      <w:r>
        <w:rPr>
          <w:rFonts w:ascii="Arial" w:hAnsi="Arial" w:cs="Arial"/>
        </w:rPr>
        <w:t>All models were</w:t>
      </w:r>
      <w:r w:rsidRPr="00DB13EF">
        <w:rPr>
          <w:rFonts w:ascii="Arial" w:hAnsi="Arial" w:cs="Arial"/>
        </w:rPr>
        <w:t xml:space="preserve"> discussed elaborately with </w:t>
      </w:r>
      <w:r>
        <w:rPr>
          <w:rFonts w:ascii="Arial" w:hAnsi="Arial" w:cs="Arial"/>
        </w:rPr>
        <w:t>its various parameters and were</w:t>
      </w:r>
      <w:r w:rsidRPr="00DB13EF">
        <w:rPr>
          <w:rFonts w:ascii="Arial" w:hAnsi="Arial" w:cs="Arial"/>
        </w:rPr>
        <w:t xml:space="preserve"> used in the calculation of normal tissue complication probab</w:t>
      </w:r>
      <w:r>
        <w:rPr>
          <w:rFonts w:ascii="Arial" w:hAnsi="Arial" w:cs="Arial"/>
        </w:rPr>
        <w:t>ility during the treatment in radiotherapy. Further, all models were compared with each other.</w:t>
      </w:r>
    </w:p>
    <w:p w:rsidR="001051FF" w:rsidRDefault="001051FF" w:rsidP="001051FF">
      <w:pPr>
        <w:spacing w:before="120" w:after="120" w:line="240" w:lineRule="atLeast"/>
        <w:jc w:val="both"/>
        <w:rPr>
          <w:rFonts w:ascii="Arial" w:hAnsi="Arial" w:cs="Arial"/>
        </w:rPr>
      </w:pPr>
      <w:r w:rsidRPr="004E5904">
        <w:rPr>
          <w:rFonts w:ascii="Arial" w:hAnsi="Arial" w:cs="Arial"/>
          <w:b/>
          <w:bCs/>
        </w:rPr>
        <w:t>Results</w:t>
      </w:r>
      <w:r w:rsidRPr="004E5904">
        <w:rPr>
          <w:rFonts w:ascii="Arial" w:hAnsi="Arial" w:cs="Arial"/>
          <w:b/>
        </w:rPr>
        <w:t>:</w:t>
      </w:r>
      <w:r w:rsidRPr="00DB13EF">
        <w:rPr>
          <w:rFonts w:ascii="Arial" w:hAnsi="Arial" w:cs="Arial"/>
        </w:rPr>
        <w:t xml:space="preserve"> </w:t>
      </w:r>
      <w:r w:rsidRPr="00064309">
        <w:rPr>
          <w:rFonts w:ascii="Arial" w:hAnsi="Arial" w:cs="Arial"/>
        </w:rPr>
        <w:t>The</w:t>
      </w:r>
      <w:r>
        <w:rPr>
          <w:rFonts w:ascii="Arial" w:hAnsi="Arial" w:cs="Arial"/>
        </w:rPr>
        <w:t xml:space="preserve"> models </w:t>
      </w:r>
      <w:r>
        <w:rPr>
          <w:rFonts w:ascii="Arial" w:hAnsi="Arial" w:cs="Arial"/>
          <w:bCs/>
        </w:rPr>
        <w:t>denote the dose for 50% complication</w:t>
      </w:r>
      <w:r w:rsidRPr="00064309">
        <w:rPr>
          <w:rFonts w:ascii="Arial" w:hAnsi="Arial" w:cs="Arial"/>
          <w:bCs/>
        </w:rPr>
        <w:t xml:space="preserve"> probability</w:t>
      </w:r>
      <w:r w:rsidRPr="00064309">
        <w:rPr>
          <w:rFonts w:ascii="Arial" w:hAnsi="Arial" w:cs="Arial"/>
        </w:rPr>
        <w:t xml:space="preserve"> (D50) parameters is the most commonly used radiobiological models for the normal tissues. The functional subunit response models (critical element &amp; Relative seriality,</w:t>
      </w:r>
      <w:r w:rsidRPr="00064309">
        <w:rPr>
          <w:rFonts w:ascii="Arial" w:hAnsi="Arial" w:cs="Arial"/>
          <w:bCs/>
          <w:color w:val="141314"/>
        </w:rPr>
        <w:t xml:space="preserve"> Critical Volume,</w:t>
      </w:r>
      <w:r w:rsidRPr="00064309">
        <w:rPr>
          <w:rFonts w:ascii="Arial" w:hAnsi="Arial" w:cs="Arial"/>
        </w:rPr>
        <w:t xml:space="preserve"> parallel architecture) are used in the derivation of the formulae for the normal tissue.</w:t>
      </w:r>
      <w:r w:rsidRPr="006E2377">
        <w:rPr>
          <w:rFonts w:ascii="Arial" w:hAnsi="Arial" w:cs="Arial"/>
        </w:rPr>
        <w:t xml:space="preserve"> </w:t>
      </w:r>
    </w:p>
    <w:p w:rsidR="001051FF" w:rsidRDefault="001051FF" w:rsidP="001051FF">
      <w:pPr>
        <w:spacing w:before="120" w:after="120" w:line="240" w:lineRule="atLeast"/>
        <w:jc w:val="both"/>
        <w:rPr>
          <w:rFonts w:ascii="Arial" w:hAnsi="Arial" w:cs="Arial"/>
        </w:rPr>
      </w:pPr>
      <w:r w:rsidRPr="00DB13EF">
        <w:rPr>
          <w:rFonts w:ascii="Arial" w:hAnsi="Arial" w:cs="Arial"/>
        </w:rPr>
        <w:t>Since all complicated NTCP model p</w:t>
      </w:r>
      <w:r>
        <w:rPr>
          <w:rFonts w:ascii="Arial" w:hAnsi="Arial" w:cs="Arial"/>
        </w:rPr>
        <w:t xml:space="preserve">redict same as the simple NTCP </w:t>
      </w:r>
      <w:r w:rsidRPr="00DB13EF">
        <w:rPr>
          <w:rFonts w:ascii="Arial" w:hAnsi="Arial" w:cs="Arial"/>
        </w:rPr>
        <w:t>model that is Lyman–Kutcher–Burman model as well as it is computationally efficient. Also Lyman–Kutcher–Burman model can be used in different treatment planning system incorporating with other model. For this reason our suggested model is Lyman–Kutcher–Burman NTCP model which can be us</w:t>
      </w:r>
      <w:r>
        <w:rPr>
          <w:rFonts w:ascii="Arial" w:hAnsi="Arial" w:cs="Arial"/>
        </w:rPr>
        <w:t>ed in treatment plan evaluation</w:t>
      </w:r>
      <w:r w:rsidRPr="00DB13EF">
        <w:rPr>
          <w:rFonts w:ascii="Arial" w:hAnsi="Arial" w:cs="Arial"/>
        </w:rPr>
        <w:t>.</w:t>
      </w:r>
      <w:r w:rsidRPr="006E2377">
        <w:rPr>
          <w:rFonts w:ascii="Arial" w:hAnsi="Arial" w:cs="Arial"/>
        </w:rPr>
        <w:t xml:space="preserve"> </w:t>
      </w:r>
    </w:p>
    <w:p w:rsidR="001051FF" w:rsidRPr="00DB13EF" w:rsidRDefault="001051FF" w:rsidP="001051FF">
      <w:pPr>
        <w:spacing w:before="240" w:after="120"/>
        <w:jc w:val="both"/>
        <w:rPr>
          <w:rFonts w:ascii="Arial" w:hAnsi="Arial" w:cs="Arial"/>
          <w:b/>
        </w:rPr>
      </w:pPr>
      <w:r w:rsidRPr="004E5904">
        <w:rPr>
          <w:rFonts w:ascii="Arial" w:hAnsi="Arial" w:cs="Arial"/>
          <w:b/>
          <w:bCs/>
        </w:rPr>
        <w:t>Conclusion:</w:t>
      </w:r>
      <w:r w:rsidRPr="00DB13EF">
        <w:rPr>
          <w:rFonts w:ascii="Arial" w:hAnsi="Arial" w:cs="Arial"/>
          <w:bCs/>
        </w:rPr>
        <w:t xml:space="preserve"> </w:t>
      </w:r>
      <w:r>
        <w:rPr>
          <w:rFonts w:ascii="Arial" w:hAnsi="Arial" w:cs="Arial"/>
        </w:rPr>
        <w:t>After analyzing six different</w:t>
      </w:r>
      <w:r w:rsidRPr="00DB13EF">
        <w:rPr>
          <w:rFonts w:ascii="Arial" w:hAnsi="Arial" w:cs="Arial"/>
        </w:rPr>
        <w:t xml:space="preserve"> model</w:t>
      </w:r>
      <w:r>
        <w:rPr>
          <w:rFonts w:ascii="Arial" w:hAnsi="Arial" w:cs="Arial"/>
        </w:rPr>
        <w:t xml:space="preserve"> </w:t>
      </w:r>
      <w:r w:rsidRPr="00DB13EF">
        <w:rPr>
          <w:rFonts w:ascii="Arial" w:hAnsi="Arial" w:cs="Arial"/>
        </w:rPr>
        <w:t>of NTCP</w:t>
      </w:r>
      <w:r w:rsidR="006B0D0A">
        <w:rPr>
          <w:rFonts w:ascii="Arial" w:hAnsi="Arial" w:cs="Arial"/>
        </w:rPr>
        <w:t>, f</w:t>
      </w:r>
      <w:r>
        <w:rPr>
          <w:rFonts w:ascii="Arial" w:hAnsi="Arial" w:cs="Arial"/>
        </w:rPr>
        <w:t xml:space="preserve">inding of the study is the treatment plan evaluation in where </w:t>
      </w:r>
      <w:r w:rsidRPr="00DB13EF">
        <w:rPr>
          <w:rFonts w:ascii="Arial" w:hAnsi="Arial" w:cs="Arial"/>
        </w:rPr>
        <w:t>Lyman–Kutc</w:t>
      </w:r>
      <w:r>
        <w:rPr>
          <w:rFonts w:ascii="Arial" w:hAnsi="Arial" w:cs="Arial"/>
        </w:rPr>
        <w:t>her–Burman model is the best model for biological</w:t>
      </w:r>
      <w:r w:rsidRPr="00DB13EF">
        <w:rPr>
          <w:rFonts w:ascii="Arial" w:hAnsi="Arial" w:cs="Arial"/>
        </w:rPr>
        <w:t xml:space="preserve"> plan evaluation. </w:t>
      </w:r>
    </w:p>
    <w:p w:rsidR="00464A87" w:rsidRPr="00464A87" w:rsidRDefault="00464A87" w:rsidP="000655F2">
      <w:pPr>
        <w:spacing w:before="120" w:after="120" w:line="300" w:lineRule="atLeast"/>
        <w:jc w:val="both"/>
        <w:rPr>
          <w:rFonts w:ascii="Times New Roman" w:hAnsi="Times New Roman" w:cs="Times New Roman"/>
        </w:rPr>
      </w:pPr>
      <w:r w:rsidRPr="00AE67B5">
        <w:rPr>
          <w:rFonts w:ascii="Times New Roman" w:hAnsi="Times New Roman" w:cs="Times New Roman"/>
          <w:b/>
          <w:bCs/>
        </w:rPr>
        <w:t xml:space="preserve">Keywords: </w:t>
      </w:r>
      <w:r w:rsidRPr="00AE67B5">
        <w:rPr>
          <w:rFonts w:ascii="Times New Roman" w:hAnsi="Times New Roman" w:cs="Times New Roman"/>
        </w:rPr>
        <w:t>Radiobiological Model,</w:t>
      </w:r>
      <w:r w:rsidR="0005462C">
        <w:rPr>
          <w:rFonts w:ascii="Times New Roman" w:hAnsi="Times New Roman" w:cs="Times New Roman"/>
        </w:rPr>
        <w:t xml:space="preserve"> </w:t>
      </w:r>
      <w:r w:rsidR="001051FF">
        <w:rPr>
          <w:rFonts w:ascii="Times New Roman" w:hAnsi="Times New Roman" w:cs="Times New Roman"/>
        </w:rPr>
        <w:t>TCP</w:t>
      </w:r>
      <w:r w:rsidR="00AE67B5" w:rsidRPr="00AE67B5">
        <w:rPr>
          <w:rFonts w:ascii="Times New Roman" w:hAnsi="Times New Roman" w:cs="Times New Roman"/>
        </w:rPr>
        <w:t>,</w:t>
      </w:r>
      <w:r w:rsidR="00A903A5">
        <w:rPr>
          <w:rFonts w:ascii="Times New Roman" w:hAnsi="Times New Roman" w:cs="Times New Roman"/>
        </w:rPr>
        <w:t xml:space="preserve"> </w:t>
      </w:r>
      <w:r w:rsidRPr="00AE67B5">
        <w:rPr>
          <w:rFonts w:ascii="Times New Roman" w:hAnsi="Times New Roman" w:cs="Times New Roman"/>
        </w:rPr>
        <w:t>NTCP</w:t>
      </w:r>
      <w:r>
        <w:t>.</w:t>
      </w:r>
    </w:p>
    <w:sectPr w:rsidR="00464A87" w:rsidRPr="00464A87" w:rsidSect="00B5627C">
      <w:pgSz w:w="11907" w:h="16839" w:code="9"/>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0655F2"/>
    <w:rsid w:val="00017B7C"/>
    <w:rsid w:val="00027ABF"/>
    <w:rsid w:val="0005462C"/>
    <w:rsid w:val="000655F2"/>
    <w:rsid w:val="000C011C"/>
    <w:rsid w:val="000C6BE1"/>
    <w:rsid w:val="001051FF"/>
    <w:rsid w:val="00123CC5"/>
    <w:rsid w:val="001F3179"/>
    <w:rsid w:val="00356789"/>
    <w:rsid w:val="00464A87"/>
    <w:rsid w:val="004A29CB"/>
    <w:rsid w:val="00596FE8"/>
    <w:rsid w:val="005C4857"/>
    <w:rsid w:val="006755DB"/>
    <w:rsid w:val="006B0D0A"/>
    <w:rsid w:val="00765E84"/>
    <w:rsid w:val="007F7011"/>
    <w:rsid w:val="00872DBB"/>
    <w:rsid w:val="008C3722"/>
    <w:rsid w:val="008D1D04"/>
    <w:rsid w:val="008F5DF1"/>
    <w:rsid w:val="00915CC9"/>
    <w:rsid w:val="00963302"/>
    <w:rsid w:val="009B4030"/>
    <w:rsid w:val="00A903A5"/>
    <w:rsid w:val="00AE67B5"/>
    <w:rsid w:val="00B5627C"/>
    <w:rsid w:val="00B75F17"/>
    <w:rsid w:val="00BD553A"/>
    <w:rsid w:val="00CD3B59"/>
    <w:rsid w:val="00E40C32"/>
    <w:rsid w:val="00ED5BBE"/>
    <w:rsid w:val="00ED797E"/>
    <w:rsid w:val="00F43D22"/>
    <w:rsid w:val="00FA77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C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C6BE1"/>
    <w:pPr>
      <w:autoSpaceDE w:val="0"/>
      <w:autoSpaceDN w:val="0"/>
      <w:adjustRightInd w:val="0"/>
      <w:spacing w:after="0" w:line="240" w:lineRule="auto"/>
    </w:pPr>
    <w:rPr>
      <w:rFonts w:ascii="Gill Sans MT" w:eastAsiaTheme="minorEastAsia" w:hAnsi="Gill Sans MT" w:cs="Gill Sans MT"/>
      <w:color w:val="000000"/>
      <w:sz w:val="24"/>
      <w:szCs w:val="24"/>
    </w:rPr>
  </w:style>
</w:styles>
</file>

<file path=word/webSettings.xml><?xml version="1.0" encoding="utf-8"?>
<w:webSettings xmlns:r="http://schemas.openxmlformats.org/officeDocument/2006/relationships" xmlns:w="http://schemas.openxmlformats.org/wordprocessingml/2006/main">
  <w:divs>
    <w:div w:id="163771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DE11C3-DA18-4406-9237-8A7BAD5AD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356</Words>
  <Characters>2032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Mahfuz</dc:creator>
  <cp:lastModifiedBy>Mahfuz</cp:lastModifiedBy>
  <cp:revision>2</cp:revision>
  <dcterms:created xsi:type="dcterms:W3CDTF">2019-12-13T09:16:00Z</dcterms:created>
  <dcterms:modified xsi:type="dcterms:W3CDTF">2019-12-13T09:16:00Z</dcterms:modified>
</cp:coreProperties>
</file>