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Times New Roman" w:hAnsi="Times New Roman" w:cs="Times New Roman"/>
          <w:b/>
          <w:highlight w:val="none"/>
        </w:rPr>
      </w:pPr>
      <w:r>
        <w:rPr>
          <w:rFonts w:ascii="Times New Roman" w:hAnsi="Times New Roman" w:eastAsia="Times New Roman" w:cs="Times New Roman"/>
          <w:b/>
          <w:sz w:val="24"/>
          <w:szCs w:val="24"/>
          <w:highlight w:val="none"/>
        </w:rPr>
        <w:t>COMPUTED TOMOGRAPHY LIVER SPLEEN RATIO AS PREDICTIVE MARKER OF LIVER INJURY AMONG ADULT FILIPINA EARLY BREAST CANCER RECEIVING NEOADJUVANT THERAPY FROM 2010-2016: A SIX-YEAR RETROSPECTIVE STUDY</w:t>
      </w:r>
    </w:p>
    <w:p>
      <w:pPr>
        <w:pStyle w:val="6"/>
        <w:spacing w:before="3"/>
        <w:rPr>
          <w:rFonts w:ascii="Arial"/>
          <w:lang w:val="en-PH"/>
        </w:rPr>
      </w:pPr>
    </w:p>
    <w:p>
      <w:pPr>
        <w:pStyle w:val="6"/>
        <w:spacing w:before="3"/>
        <w:rPr>
          <w:rFonts w:ascii="Arial"/>
          <w:lang w:val="en-PH"/>
        </w:rPr>
      </w:pPr>
    </w:p>
    <w:p>
      <w:pPr>
        <w:pStyle w:val="6"/>
        <w:spacing w:before="3"/>
        <w:rPr>
          <w:rFonts w:hint="default" w:ascii="Arial"/>
          <w:lang w:val="en-PH"/>
        </w:rPr>
      </w:pPr>
      <w:r>
        <w:rPr>
          <w:rFonts w:ascii="Arial"/>
          <w:lang w:val="en-PH"/>
        </w:rPr>
        <w:t>Amabelle Trina Gerona, MD, St. Luke</w:t>
      </w:r>
      <w:r>
        <w:rPr>
          <w:rFonts w:hint="default" w:ascii="Arial"/>
          <w:lang w:val="en-PH"/>
        </w:rPr>
        <w:t>’s Medical Center, Quezon City, Philippines</w:t>
      </w:r>
    </w:p>
    <w:p>
      <w:pPr>
        <w:pStyle w:val="6"/>
        <w:spacing w:before="3"/>
        <w:rPr>
          <w:rFonts w:hint="default" w:ascii="Arial"/>
          <w:lang w:val="en-PH"/>
        </w:rPr>
      </w:pPr>
    </w:p>
    <w:p>
      <w:pPr>
        <w:pStyle w:val="6"/>
        <w:spacing w:before="3"/>
        <w:rPr>
          <w:rFonts w:hint="default" w:ascii="Arial"/>
          <w:lang w:val="en-PH"/>
        </w:rPr>
      </w:pPr>
    </w:p>
    <w:p>
      <w:pPr>
        <w:pStyle w:val="6"/>
        <w:spacing w:before="3"/>
        <w:rPr>
          <w:rFonts w:hint="default" w:ascii="Arial"/>
          <w:lang w:val="en-PH"/>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74"/>
        <w:rPr>
          <w:color w:val="BF5A14"/>
        </w:rPr>
      </w:pPr>
      <w:r>
        <w:rPr>
          <w:color w:val="BF5A14"/>
        </w:rPr>
        <w:t>Abstract</w:t>
      </w:r>
    </w:p>
    <w:p/>
    <w:p>
      <w:r>
        <w:t>There is no way of predicting who among our early breast cancer patients develop liver injury during neoadjuvant treatment. It is our aim to determine such event by determining Computed tomography liver spleen ratio (LS ratio) and comparing it to liver function test.</w:t>
      </w:r>
    </w:p>
    <w:p>
      <w:r>
        <w:t xml:space="preserve">Methods:  Retrospective review in the Philippines for Stage I-III invasive breast cancer. Computed tomography LS ratio was reviewed by one radiologist. LS ratio cut off values were tested of their accuracy in terms of sensitivity, specificity, negative, and positive predictive values wherein a computed AUC of &gt; 0.70 is considered significantly valid predictive markers. </w:t>
      </w:r>
    </w:p>
    <w:p>
      <w:r>
        <w:t xml:space="preserve">Results:  </w:t>
      </w:r>
      <w:r>
        <w:rPr>
          <w:lang w:val="en-PH"/>
        </w:rPr>
        <w:t>We had 35 patients with average</w:t>
      </w:r>
      <w:r>
        <w:t xml:space="preserve"> age of 53.91 years old, 57% had stage IIIB cancer. Patients’ average liver spleen ratio was 1.10±0.30 at the start, then, it slightly increased towards the end of the treatment (1.13±0.32). SGPT (37.43 to 35.09, p=0.479) changed from start to end of treatment. Higher rates of liver injury at the start of treatmen</w:t>
      </w:r>
      <w:r>
        <w:rPr>
          <w:lang w:val="en-PH"/>
        </w:rPr>
        <w:t xml:space="preserve">t. </w:t>
      </w:r>
      <w:r>
        <w:t>Liver spleen ratio is significantly correlated with SGPT (r= -0.541, p=0.001). At end of treatment, LS ratio is correlated with SGPT (r = -0.464, p=0.005). LS ratio has higher sensitivity at start of treatment 100% at cut off 0.52, while at end of treatment the cut off was 0.87 has higher sensitivity (100%) in predicting liver injury. L</w:t>
      </w:r>
      <w:r>
        <w:rPr>
          <w:lang w:val="en-PH"/>
        </w:rPr>
        <w:t xml:space="preserve">iver </w:t>
      </w:r>
      <w:r>
        <w:t>S</w:t>
      </w:r>
      <w:r>
        <w:rPr>
          <w:lang w:val="en-PH"/>
        </w:rPr>
        <w:t>pleen</w:t>
      </w:r>
      <w:r>
        <w:t xml:space="preserve"> ratio at the end of treatment showed higher accuracy (AUC =0.597) indicating the LS ratio can be utilized as marker for predicting liver injury. </w:t>
      </w:r>
    </w:p>
    <w:p>
      <w:r>
        <w:t>Conclusions: End of treatment, liver injury</w:t>
      </w:r>
      <w:r>
        <w:rPr>
          <w:lang w:val="en-PH"/>
        </w:rPr>
        <w:t xml:space="preserve"> was</w:t>
      </w:r>
      <w:r>
        <w:t xml:space="preserve"> seen in </w:t>
      </w:r>
      <w:r>
        <w:rPr>
          <w:lang w:val="en-PH"/>
        </w:rPr>
        <w:t xml:space="preserve">those </w:t>
      </w:r>
      <w:r>
        <w:t>receiving anthracycline- based regimen. Liver spleen ratio is significantly correlated with SGPT. L</w:t>
      </w:r>
      <w:r>
        <w:rPr>
          <w:lang w:val="en-PH"/>
        </w:rPr>
        <w:t>iver spleen</w:t>
      </w:r>
      <w:r>
        <w:t xml:space="preserve"> ratio at the end of treatment showed higher accuracy indicating the LS ratio be utilized as marker for predicting liver injury.</w:t>
      </w:r>
    </w:p>
    <w:p/>
    <w:p>
      <w:pPr>
        <w:pStyle w:val="6"/>
        <w:spacing w:before="2"/>
        <w:rPr>
          <w:rFonts w:ascii="Arial"/>
          <w:b/>
          <w:sz w:val="16"/>
        </w:rPr>
      </w:pPr>
    </w:p>
    <w:p>
      <w:pPr>
        <w:spacing w:line="204" w:lineRule="exact"/>
        <w:rPr>
          <w:rFonts w:ascii="Arial"/>
          <w:b/>
          <w:color w:val="BF5A14"/>
          <w:sz w:val="20"/>
        </w:rPr>
      </w:pPr>
    </w:p>
    <w:tbl>
      <w:tblPr>
        <w:tblStyle w:val="11"/>
        <w:tblW w:w="5149" w:type="dxa"/>
        <w:jc w:val="center"/>
        <w:tblInd w:w="0" w:type="dxa"/>
        <w:tblLayout w:type="fixed"/>
        <w:tblCellMar>
          <w:top w:w="0" w:type="dxa"/>
          <w:left w:w="108" w:type="dxa"/>
          <w:bottom w:w="0" w:type="dxa"/>
          <w:right w:w="108" w:type="dxa"/>
        </w:tblCellMar>
      </w:tblPr>
      <w:tblGrid>
        <w:gridCol w:w="877"/>
        <w:gridCol w:w="683"/>
        <w:gridCol w:w="478"/>
        <w:gridCol w:w="541"/>
        <w:gridCol w:w="760"/>
        <w:gridCol w:w="575"/>
        <w:gridCol w:w="546"/>
        <w:gridCol w:w="689"/>
      </w:tblGrid>
      <w:tr>
        <w:tblPrEx>
          <w:tblLayout w:type="fixed"/>
          <w:tblCellMar>
            <w:top w:w="0" w:type="dxa"/>
            <w:left w:w="108" w:type="dxa"/>
            <w:bottom w:w="0" w:type="dxa"/>
            <w:right w:w="108" w:type="dxa"/>
          </w:tblCellMar>
        </w:tblPrEx>
        <w:trPr>
          <w:trHeight w:val="248" w:hRule="atLeast"/>
          <w:jc w:val="center"/>
        </w:trPr>
        <w:tc>
          <w:tcPr>
            <w:tcW w:w="877" w:type="dxa"/>
            <w:tcBorders>
              <w:top w:val="single" w:color="auto" w:sz="4" w:space="0"/>
              <w:left w:val="nil"/>
              <w:bottom w:val="double" w:color="auto" w:sz="6" w:space="0"/>
              <w:right w:val="nil"/>
            </w:tcBorders>
            <w:shd w:val="clear" w:color="000000" w:fill="D0CECE"/>
            <w:vAlign w:val="bottom"/>
          </w:tcPr>
          <w:p>
            <w:pPr>
              <w:spacing w:line="240" w:lineRule="auto"/>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L/S Ratio</w:t>
            </w:r>
          </w:p>
        </w:tc>
        <w:tc>
          <w:tcPr>
            <w:tcW w:w="683" w:type="dxa"/>
            <w:tcBorders>
              <w:top w:val="single" w:color="auto" w:sz="4" w:space="0"/>
              <w:left w:val="nil"/>
              <w:bottom w:val="double" w:color="auto" w:sz="6" w:space="0"/>
              <w:right w:val="nil"/>
            </w:tcBorders>
            <w:shd w:val="clear" w:color="000000" w:fill="D0CECE"/>
            <w:vAlign w:val="bottom"/>
          </w:tcPr>
          <w:p>
            <w:pPr>
              <w:spacing w:line="240" w:lineRule="auto"/>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Correlation</w:t>
            </w:r>
          </w:p>
        </w:tc>
        <w:tc>
          <w:tcPr>
            <w:tcW w:w="478"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SGPT</w:t>
            </w:r>
          </w:p>
        </w:tc>
        <w:tc>
          <w:tcPr>
            <w:tcW w:w="541"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SGOT</w:t>
            </w:r>
          </w:p>
        </w:tc>
        <w:tc>
          <w:tcPr>
            <w:tcW w:w="760"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TOTAL BILIRUBIN</w:t>
            </w:r>
          </w:p>
        </w:tc>
        <w:tc>
          <w:tcPr>
            <w:tcW w:w="575"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SGPT</w:t>
            </w:r>
          </w:p>
        </w:tc>
        <w:tc>
          <w:tcPr>
            <w:tcW w:w="546"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SGOT</w:t>
            </w:r>
          </w:p>
        </w:tc>
        <w:tc>
          <w:tcPr>
            <w:tcW w:w="689" w:type="dxa"/>
            <w:tcBorders>
              <w:top w:val="single" w:color="auto" w:sz="4" w:space="0"/>
              <w:left w:val="nil"/>
              <w:bottom w:val="double" w:color="auto" w:sz="6" w:space="0"/>
              <w:right w:val="nil"/>
            </w:tcBorders>
            <w:shd w:val="clear" w:color="000000" w:fill="D0CECE"/>
            <w:vAlign w:val="bottom"/>
          </w:tcPr>
          <w:p>
            <w:pPr>
              <w:spacing w:line="240" w:lineRule="auto"/>
              <w:jc w:val="center"/>
              <w:rPr>
                <w:rFonts w:ascii="Times New Roman" w:hAnsi="Times New Roman" w:eastAsia="Times New Roman" w:cs="Times New Roman"/>
                <w:b/>
                <w:bCs/>
                <w:sz w:val="10"/>
                <w:szCs w:val="10"/>
              </w:rPr>
            </w:pPr>
            <w:r>
              <w:rPr>
                <w:rFonts w:ascii="Times New Roman" w:hAnsi="Times New Roman" w:eastAsia="Times New Roman" w:cs="Times New Roman"/>
                <w:b/>
                <w:bCs/>
                <w:sz w:val="10"/>
                <w:szCs w:val="10"/>
              </w:rPr>
              <w:t>TOTAL BILIRUBIN</w:t>
            </w:r>
          </w:p>
        </w:tc>
      </w:tr>
      <w:tr>
        <w:tblPrEx>
          <w:tblLayout w:type="fixed"/>
          <w:tblCellMar>
            <w:top w:w="0" w:type="dxa"/>
            <w:left w:w="108" w:type="dxa"/>
            <w:bottom w:w="0" w:type="dxa"/>
            <w:right w:w="108" w:type="dxa"/>
          </w:tblCellMar>
        </w:tblPrEx>
        <w:trPr>
          <w:trHeight w:val="422" w:hRule="atLeast"/>
          <w:jc w:val="center"/>
        </w:trPr>
        <w:tc>
          <w:tcPr>
            <w:tcW w:w="877" w:type="dxa"/>
            <w:tcBorders>
              <w:top w:val="nil"/>
              <w:left w:val="nil"/>
              <w:bottom w:val="nil"/>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L/S Ratio (start)</w:t>
            </w:r>
          </w:p>
        </w:tc>
        <w:tc>
          <w:tcPr>
            <w:tcW w:w="683" w:type="dxa"/>
            <w:tcBorders>
              <w:top w:val="nil"/>
              <w:left w:val="nil"/>
              <w:bottom w:val="nil"/>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Pearson Correlation</w:t>
            </w:r>
          </w:p>
        </w:tc>
        <w:tc>
          <w:tcPr>
            <w:tcW w:w="478"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-.541**</w:t>
            </w:r>
          </w:p>
        </w:tc>
        <w:tc>
          <w:tcPr>
            <w:tcW w:w="541"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-0.107</w:t>
            </w:r>
          </w:p>
        </w:tc>
        <w:tc>
          <w:tcPr>
            <w:tcW w:w="760"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-0.253</w:t>
            </w:r>
          </w:p>
        </w:tc>
        <w:tc>
          <w:tcPr>
            <w:tcW w:w="575"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-0.253</w:t>
            </w:r>
          </w:p>
        </w:tc>
        <w:tc>
          <w:tcPr>
            <w:tcW w:w="546"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-.431**</w:t>
            </w:r>
          </w:p>
        </w:tc>
        <w:tc>
          <w:tcPr>
            <w:tcW w:w="689"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-0.137</w:t>
            </w:r>
          </w:p>
        </w:tc>
      </w:tr>
      <w:tr>
        <w:tblPrEx>
          <w:tblLayout w:type="fixed"/>
          <w:tblCellMar>
            <w:top w:w="0" w:type="dxa"/>
            <w:left w:w="108" w:type="dxa"/>
            <w:bottom w:w="0" w:type="dxa"/>
            <w:right w:w="108" w:type="dxa"/>
          </w:tblCellMar>
        </w:tblPrEx>
        <w:trPr>
          <w:trHeight w:val="222" w:hRule="atLeast"/>
          <w:jc w:val="center"/>
        </w:trPr>
        <w:tc>
          <w:tcPr>
            <w:tcW w:w="877" w:type="dxa"/>
            <w:tcBorders>
              <w:top w:val="nil"/>
              <w:left w:val="nil"/>
              <w:bottom w:val="single" w:color="auto" w:sz="4" w:space="0"/>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 </w:t>
            </w:r>
          </w:p>
        </w:tc>
        <w:tc>
          <w:tcPr>
            <w:tcW w:w="683" w:type="dxa"/>
            <w:tcBorders>
              <w:top w:val="nil"/>
              <w:left w:val="nil"/>
              <w:bottom w:val="single" w:color="auto" w:sz="4" w:space="0"/>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p-value</w:t>
            </w:r>
          </w:p>
        </w:tc>
        <w:tc>
          <w:tcPr>
            <w:tcW w:w="478"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0.001</w:t>
            </w:r>
          </w:p>
        </w:tc>
        <w:tc>
          <w:tcPr>
            <w:tcW w:w="541"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0.541</w:t>
            </w:r>
          </w:p>
        </w:tc>
        <w:tc>
          <w:tcPr>
            <w:tcW w:w="760"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0.142</w:t>
            </w:r>
          </w:p>
        </w:tc>
        <w:tc>
          <w:tcPr>
            <w:tcW w:w="575"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0.142</w:t>
            </w:r>
          </w:p>
        </w:tc>
        <w:tc>
          <w:tcPr>
            <w:tcW w:w="546"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0.01</w:t>
            </w:r>
          </w:p>
        </w:tc>
        <w:tc>
          <w:tcPr>
            <w:tcW w:w="689" w:type="dxa"/>
            <w:tcBorders>
              <w:top w:val="nil"/>
              <w:left w:val="nil"/>
              <w:bottom w:val="single" w:color="auto" w:sz="4"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0.434</w:t>
            </w:r>
          </w:p>
        </w:tc>
      </w:tr>
      <w:tr>
        <w:tblPrEx>
          <w:tblLayout w:type="fixed"/>
          <w:tblCellMar>
            <w:top w:w="0" w:type="dxa"/>
            <w:left w:w="108" w:type="dxa"/>
            <w:bottom w:w="0" w:type="dxa"/>
            <w:right w:w="108" w:type="dxa"/>
          </w:tblCellMar>
        </w:tblPrEx>
        <w:trPr>
          <w:trHeight w:val="334" w:hRule="atLeast"/>
          <w:jc w:val="center"/>
        </w:trPr>
        <w:tc>
          <w:tcPr>
            <w:tcW w:w="877" w:type="dxa"/>
            <w:tcBorders>
              <w:top w:val="nil"/>
              <w:left w:val="nil"/>
              <w:bottom w:val="nil"/>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L/S Ratio (end)</w:t>
            </w:r>
          </w:p>
        </w:tc>
        <w:tc>
          <w:tcPr>
            <w:tcW w:w="683" w:type="dxa"/>
            <w:tcBorders>
              <w:top w:val="nil"/>
              <w:left w:val="nil"/>
              <w:bottom w:val="nil"/>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Pearson Correlation</w:t>
            </w:r>
          </w:p>
        </w:tc>
        <w:tc>
          <w:tcPr>
            <w:tcW w:w="478"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-0.33</w:t>
            </w:r>
          </w:p>
        </w:tc>
        <w:tc>
          <w:tcPr>
            <w:tcW w:w="541"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-0.005</w:t>
            </w:r>
          </w:p>
        </w:tc>
        <w:tc>
          <w:tcPr>
            <w:tcW w:w="760"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-0.059</w:t>
            </w:r>
          </w:p>
        </w:tc>
        <w:tc>
          <w:tcPr>
            <w:tcW w:w="575"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-.464**</w:t>
            </w:r>
          </w:p>
        </w:tc>
        <w:tc>
          <w:tcPr>
            <w:tcW w:w="546"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-0.199</w:t>
            </w:r>
          </w:p>
        </w:tc>
        <w:tc>
          <w:tcPr>
            <w:tcW w:w="689" w:type="dxa"/>
            <w:tcBorders>
              <w:top w:val="nil"/>
              <w:left w:val="nil"/>
              <w:bottom w:val="nil"/>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-0.075</w:t>
            </w:r>
          </w:p>
        </w:tc>
      </w:tr>
      <w:tr>
        <w:tblPrEx>
          <w:tblLayout w:type="fixed"/>
          <w:tblCellMar>
            <w:top w:w="0" w:type="dxa"/>
            <w:left w:w="108" w:type="dxa"/>
            <w:bottom w:w="0" w:type="dxa"/>
            <w:right w:w="108" w:type="dxa"/>
          </w:tblCellMar>
        </w:tblPrEx>
        <w:trPr>
          <w:trHeight w:val="302" w:hRule="atLeast"/>
          <w:jc w:val="center"/>
        </w:trPr>
        <w:tc>
          <w:tcPr>
            <w:tcW w:w="877" w:type="dxa"/>
            <w:tcBorders>
              <w:top w:val="nil"/>
              <w:left w:val="nil"/>
              <w:bottom w:val="double" w:color="auto" w:sz="6" w:space="0"/>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 </w:t>
            </w:r>
          </w:p>
        </w:tc>
        <w:tc>
          <w:tcPr>
            <w:tcW w:w="683" w:type="dxa"/>
            <w:tcBorders>
              <w:top w:val="nil"/>
              <w:left w:val="nil"/>
              <w:bottom w:val="double" w:color="auto" w:sz="6" w:space="0"/>
              <w:right w:val="nil"/>
            </w:tcBorders>
            <w:shd w:val="clear" w:color="auto" w:fill="auto"/>
            <w:vAlign w:val="bottom"/>
          </w:tcPr>
          <w:p>
            <w:pPr>
              <w:spacing w:line="240"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p-value</w:t>
            </w:r>
          </w:p>
        </w:tc>
        <w:tc>
          <w:tcPr>
            <w:tcW w:w="478"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0.053</w:t>
            </w:r>
          </w:p>
        </w:tc>
        <w:tc>
          <w:tcPr>
            <w:tcW w:w="541"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0.976</w:t>
            </w:r>
          </w:p>
        </w:tc>
        <w:tc>
          <w:tcPr>
            <w:tcW w:w="760"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0.735</w:t>
            </w:r>
          </w:p>
        </w:tc>
        <w:tc>
          <w:tcPr>
            <w:tcW w:w="575"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0.005</w:t>
            </w:r>
          </w:p>
        </w:tc>
        <w:tc>
          <w:tcPr>
            <w:tcW w:w="546"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0.251</w:t>
            </w:r>
          </w:p>
        </w:tc>
        <w:tc>
          <w:tcPr>
            <w:tcW w:w="689" w:type="dxa"/>
            <w:tcBorders>
              <w:top w:val="nil"/>
              <w:left w:val="nil"/>
              <w:bottom w:val="double" w:color="auto" w:sz="6" w:space="0"/>
              <w:right w:val="nil"/>
            </w:tcBorders>
            <w:shd w:val="clear" w:color="auto" w:fill="auto"/>
            <w:vAlign w:val="bottom"/>
          </w:tcPr>
          <w:p>
            <w:pPr>
              <w:spacing w:line="240" w:lineRule="auto"/>
              <w:jc w:val="center"/>
              <w:rPr>
                <w:rFonts w:ascii="Times New Roman" w:hAnsi="Times New Roman" w:eastAsia="Times New Roman" w:cs="Times New Roman"/>
                <w:sz w:val="10"/>
                <w:szCs w:val="10"/>
              </w:rPr>
            </w:pPr>
            <w:r>
              <w:rPr>
                <w:rFonts w:ascii="Times New Roman" w:hAnsi="Times New Roman" w:eastAsia="Times New Roman" w:cs="Times New Roman"/>
                <w:sz w:val="10"/>
                <w:szCs w:val="10"/>
              </w:rPr>
              <w:t>0.668</w:t>
            </w:r>
          </w:p>
        </w:tc>
      </w:tr>
    </w:tbl>
    <w:p>
      <w:pPr>
        <w:spacing w:line="204" w:lineRule="exact"/>
        <w:rPr>
          <w:rFonts w:ascii="Arial"/>
          <w:b/>
          <w:color w:val="BF5A14"/>
          <w:sz w:val="20"/>
        </w:rPr>
      </w:pPr>
    </w:p>
    <w:p>
      <w:pPr>
        <w:spacing w:line="204" w:lineRule="exact"/>
        <w:rPr>
          <w:rFonts w:ascii="Arial"/>
          <w:b/>
          <w:color w:val="BF5A14"/>
          <w:sz w:val="20"/>
        </w:rPr>
      </w:pPr>
    </w:p>
    <w:p>
      <w:pPr>
        <w:pStyle w:val="6"/>
        <w:spacing w:before="85" w:line="216" w:lineRule="exact"/>
        <w:ind w:left="383" w:right="138" w:hanging="284"/>
        <w:jc w:val="both"/>
        <w:rPr>
          <w:rFonts w:ascii="Calibri" w:hAnsi="Calibri"/>
        </w:rPr>
      </w:pPr>
      <w:r>
        <w:rPr>
          <w:rFonts w:ascii="Calibri" w:hAnsi="Calibri"/>
        </w:rPr>
        <w:t>.</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6"/>
        <w:rPr>
          <w:rFonts w:ascii="Calibri"/>
          <w:sz w:val="20"/>
        </w:rPr>
      </w:pPr>
    </w:p>
    <w:p>
      <w:pPr>
        <w:pStyle w:val="6"/>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color w:val="BF5A14"/>
        </w:rPr>
      </w:pPr>
      <w:r>
        <w:t xml:space="preserve">              </w:t>
      </w:r>
      <w:r>
        <w:rPr>
          <w:rFonts w:ascii="Arial"/>
          <w:color w:val="BF5A14"/>
        </w:rPr>
        <w:drawing>
          <wp:inline distT="0" distB="0" distL="114300" distR="114300">
            <wp:extent cx="1163955" cy="1083310"/>
            <wp:effectExtent l="0" t="0" r="17145" b="2540"/>
            <wp:docPr id="2" name="Picture 2" descr="cv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v pic"/>
                    <pic:cNvPicPr>
                      <a:picLocks noChangeAspect="1"/>
                    </pic:cNvPicPr>
                  </pic:nvPicPr>
                  <pic:blipFill>
                    <a:blip r:embed="rId6"/>
                    <a:stretch>
                      <a:fillRect/>
                    </a:stretch>
                  </pic:blipFill>
                  <pic:spPr>
                    <a:xfrm>
                      <a:off x="0" y="0"/>
                      <a:ext cx="1163955" cy="1083310"/>
                    </a:xfrm>
                    <a:prstGeom prst="rect">
                      <a:avLst/>
                    </a:prstGeom>
                  </pic:spPr>
                </pic:pic>
              </a:graphicData>
            </a:graphic>
          </wp:inline>
        </w:drawing>
      </w:r>
      <w:bookmarkStart w:id="0" w:name="_GoBack"/>
      <w:bookmarkEnd w:id="0"/>
    </w:p>
    <w:p>
      <w:pPr>
        <w:spacing w:before="92"/>
        <w:ind w:right="4234"/>
        <w:rPr>
          <w:rFonts w:ascii="Arial"/>
          <w:color w:val="BF5A14"/>
        </w:rPr>
      </w:pPr>
      <w:r>
        <w:rPr>
          <w:rFonts w:ascii="Arial"/>
          <w:color w:val="BF5A14"/>
        </w:rPr>
        <w:t xml:space="preserve">Biography </w:t>
      </w:r>
    </w:p>
    <w:p>
      <w:pPr>
        <w:spacing w:before="92"/>
        <w:ind w:right="4234"/>
        <w:rPr>
          <w:rFonts w:ascii="Arial"/>
          <w:sz w:val="14"/>
        </w:rPr>
      </w:pPr>
      <w:r>
        <w:rPr>
          <w:rFonts w:ascii="Arial"/>
          <w:sz w:val="14"/>
          <w:lang w:val="en-PH"/>
        </w:rPr>
        <w:t>Amabelle Trina Gerona, MD is a Medical Oncology fellow in the leading Cancer Institute in the Philippines. She interested in both research and clinical practice in Oncology.</w:t>
      </w:r>
    </w:p>
    <w:p>
      <w:pPr>
        <w:spacing w:before="62"/>
        <w:ind w:left="4217" w:right="4235"/>
        <w:jc w:val="center"/>
        <w:rPr>
          <w:rFonts w:ascii="Arial"/>
          <w:sz w:val="14"/>
          <w:szCs w:val="14"/>
        </w:rPr>
      </w:pPr>
      <w:r>
        <w:rPr>
          <w:rFonts w:ascii="Arial"/>
          <w:sz w:val="14"/>
        </w:rPr>
        <w:t xml:space="preserve">Email: </w:t>
      </w:r>
      <w:r>
        <w:rPr>
          <w:rFonts w:ascii="Arial"/>
          <w:sz w:val="14"/>
          <w:szCs w:val="14"/>
          <w:lang w:val="en-PH"/>
        </w:rPr>
        <w:t>amabelletrinagerona@gmail.com</w:t>
      </w:r>
    </w:p>
    <w:p>
      <w:pPr>
        <w:pStyle w:val="6"/>
        <w:spacing w:before="2"/>
        <w:rPr>
          <w:rFonts w:ascii="Arial"/>
          <w:sz w:val="14"/>
          <w:szCs w:val="14"/>
        </w:rPr>
      </w:pPr>
      <w:r>
        <w:rPr>
          <w:sz w:val="14"/>
          <w:szCs w:val="14"/>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6"/>
        <w:rPr>
          <w:rFonts w:ascii="Arial"/>
          <w:sz w:val="20"/>
        </w:rPr>
      </w:pPr>
    </w:p>
    <w:p>
      <w:pPr>
        <w:pStyle w:val="6"/>
        <w:rPr>
          <w:rFonts w:ascii="Arial"/>
          <w:sz w:val="20"/>
        </w:rPr>
      </w:pPr>
    </w:p>
    <w:p>
      <w:pPr>
        <w:pStyle w:val="6"/>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86"/>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175C1CAD"/>
    <w:rsid w:val="54766312"/>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alloon Text"/>
    <w:basedOn w:val="1"/>
    <w:link w:val="16"/>
    <w:unhideWhenUsed/>
    <w:qFormat/>
    <w:uiPriority w:val="99"/>
    <w:rPr>
      <w:rFonts w:ascii="Tahoma" w:hAnsi="Tahoma" w:cs="Tahoma"/>
      <w:sz w:val="16"/>
      <w:szCs w:val="16"/>
    </w:rPr>
  </w:style>
  <w:style w:type="paragraph" w:styleId="6">
    <w:name w:val="Body Text"/>
    <w:basedOn w:val="1"/>
    <w:link w:val="17"/>
    <w:qFormat/>
    <w:uiPriority w:val="1"/>
    <w:rPr>
      <w:sz w:val="18"/>
      <w:szCs w:val="18"/>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uiPriority w:val="99"/>
    <w:rPr>
      <w:color w:val="0000FF" w:themeColor="hyperlink"/>
      <w:u w:val="single"/>
      <w14:textFill>
        <w14:solidFill>
          <w14:schemeClr w14:val="hlink"/>
        </w14:solidFill>
      </w14:textFill>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5"/>
    <w:semiHidden/>
    <w:qFormat/>
    <w:uiPriority w:val="99"/>
    <w:rPr>
      <w:rFonts w:ascii="Tahoma" w:hAnsi="Tahoma" w:eastAsia="Tw Cen MT" w:cs="Tahoma"/>
      <w:sz w:val="16"/>
      <w:szCs w:val="16"/>
    </w:rPr>
  </w:style>
  <w:style w:type="character" w:customStyle="1" w:styleId="17">
    <w:name w:val="Body Text Char"/>
    <w:basedOn w:val="9"/>
    <w:link w:val="6"/>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ScaleCrop>false</ScaleCrop>
  <LinksUpToDate>false</LinksUpToDate>
  <CharactersWithSpaces>3674</CharactersWithSpaces>
  <Application>WPS Office_10.2.0.5871_F1E327BC-269C-435d-A152-05C5408002CA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Belle</cp:lastModifiedBy>
  <dcterms:modified xsi:type="dcterms:W3CDTF">2017-07-07T14:21:38Z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1033-10.2.0.5871</vt:lpwstr>
  </property>
</Properties>
</file>