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4062" w:rsidRPr="00054D85" w:rsidRDefault="00C824D8" w:rsidP="00594062">
      <w:pPr>
        <w:pStyle w:val="Heading3"/>
        <w:shd w:val="clear" w:color="auto" w:fill="FFFFFF"/>
        <w:spacing w:line="285" w:lineRule="atLeast"/>
        <w:ind w:right="1500"/>
        <w:rPr>
          <w:b w:val="0"/>
          <w:bCs w:val="0"/>
          <w:color w:val="222222"/>
          <w:sz w:val="26"/>
          <w:szCs w:val="26"/>
        </w:rPr>
      </w:pPr>
      <w:hyperlink r:id="rId7" w:history="1">
        <w:r w:rsidR="00607EEC">
          <w:rPr>
            <w:rStyle w:val="Hyperlink"/>
            <w:b w:val="0"/>
            <w:bCs w:val="0"/>
            <w:color w:val="660099"/>
            <w:sz w:val="26"/>
            <w:szCs w:val="26"/>
            <w:u w:val="none"/>
          </w:rPr>
          <w:t>Bottom Feeding and High Density Stocking Improve Yield and Profitability</w:t>
        </w:r>
        <w:r w:rsidR="00A26BC1">
          <w:rPr>
            <w:rStyle w:val="Hyperlink"/>
            <w:b w:val="0"/>
            <w:bCs w:val="0"/>
            <w:color w:val="660099"/>
            <w:sz w:val="26"/>
            <w:szCs w:val="26"/>
            <w:u w:val="none"/>
          </w:rPr>
          <w:t xml:space="preserve"> of Milkfish</w:t>
        </w:r>
        <w:r w:rsidR="004E1E19">
          <w:rPr>
            <w:rStyle w:val="Hyperlink"/>
            <w:b w:val="0"/>
            <w:bCs w:val="0"/>
            <w:color w:val="660099"/>
            <w:sz w:val="26"/>
            <w:szCs w:val="26"/>
            <w:u w:val="none"/>
          </w:rPr>
          <w:t xml:space="preserve"> </w:t>
        </w:r>
        <w:r w:rsidR="00607EEC">
          <w:rPr>
            <w:rStyle w:val="Hyperlink"/>
            <w:b w:val="0"/>
            <w:bCs w:val="0"/>
            <w:color w:val="660099"/>
            <w:sz w:val="26"/>
            <w:szCs w:val="26"/>
            <w:u w:val="none"/>
          </w:rPr>
          <w:t>Culture in Marine Cages</w:t>
        </w:r>
      </w:hyperlink>
      <w:bookmarkStart w:id="0" w:name="_GoBack"/>
      <w:bookmarkEnd w:id="0"/>
    </w:p>
    <w:p w:rsidR="004E1E19" w:rsidRDefault="009A5201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Crispino A Saclauso, PhD., </w:t>
      </w:r>
      <w:r w:rsidR="004E1E19">
        <w:rPr>
          <w:rFonts w:ascii="Arial"/>
        </w:rPr>
        <w:t>College of Fisheries and Ocean Sciences, University of the Philippines Visayas, Miagao, Iloilo, Philippines</w:t>
      </w:r>
    </w:p>
    <w:p w:rsidR="004E1E19" w:rsidRDefault="004E1E19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Joebert </w:t>
      </w:r>
      <w:r w:rsidR="003B677C">
        <w:rPr>
          <w:rFonts w:ascii="Arial"/>
        </w:rPr>
        <w:t xml:space="preserve">D </w:t>
      </w:r>
      <w:r w:rsidR="001B6A25">
        <w:rPr>
          <w:rFonts w:ascii="Arial"/>
        </w:rPr>
        <w:t>Toledo, PhD.</w:t>
      </w:r>
      <w:r w:rsidR="009A5201">
        <w:rPr>
          <w:rFonts w:ascii="Arial"/>
        </w:rPr>
        <w:t>,</w:t>
      </w:r>
      <w:r>
        <w:rPr>
          <w:rFonts w:ascii="Arial"/>
        </w:rPr>
        <w:t xml:space="preserve"> Feedmix </w:t>
      </w:r>
      <w:r w:rsidR="009A5201">
        <w:rPr>
          <w:rFonts w:ascii="Arial"/>
        </w:rPr>
        <w:t>Specialists Inc II, Pulilan, Bulacan, Philippines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5A1E24" w:rsidRDefault="004E1E19" w:rsidP="00991068">
      <w:pPr>
        <w:pStyle w:val="BodyText"/>
        <w:spacing w:before="90" w:line="280" w:lineRule="auto"/>
        <w:jc w:val="both"/>
      </w:pPr>
      <w:r>
        <w:lastRenderedPageBreak/>
        <w:t xml:space="preserve">High density </w:t>
      </w:r>
      <w:r w:rsidR="003753C6">
        <w:t>stocking</w:t>
      </w:r>
      <w:r>
        <w:t xml:space="preserve"> often results in slow growth and</w:t>
      </w:r>
      <w:r w:rsidR="00A9710C">
        <w:t xml:space="preserve"> </w:t>
      </w:r>
      <w:r>
        <w:t xml:space="preserve">low survival in </w:t>
      </w:r>
      <w:r w:rsidR="00FF278E">
        <w:t>aquaculture.</w:t>
      </w:r>
      <w:r>
        <w:t xml:space="preserve"> </w:t>
      </w:r>
      <w:r w:rsidR="00FF278E">
        <w:t>This is attributed to d</w:t>
      </w:r>
      <w:r>
        <w:t>iminished space</w:t>
      </w:r>
      <w:r w:rsidR="001E283A">
        <w:t xml:space="preserve">, </w:t>
      </w:r>
      <w:r w:rsidR="001E283A" w:rsidRPr="00BC77F6">
        <w:t>inequitable access to food</w:t>
      </w:r>
      <w:r w:rsidR="001E283A" w:rsidRPr="009364A8">
        <w:t>,</w:t>
      </w:r>
      <w:r>
        <w:t xml:space="preserve"> </w:t>
      </w:r>
      <w:r w:rsidR="00FF278E">
        <w:t xml:space="preserve">and aggressive behavior </w:t>
      </w:r>
      <w:r>
        <w:t>as a consequence of crowding</w:t>
      </w:r>
      <w:r w:rsidR="00FF278E">
        <w:t xml:space="preserve"> and deterioration of water quality</w:t>
      </w:r>
      <w:r w:rsidR="00EF0770">
        <w:t xml:space="preserve"> </w:t>
      </w:r>
      <w:r w:rsidR="00EF0770" w:rsidRPr="00BC77F6">
        <w:t>at high population densities</w:t>
      </w:r>
      <w:r w:rsidR="00FF278E">
        <w:t xml:space="preserve">. </w:t>
      </w:r>
      <w:r w:rsidR="003753C6">
        <w:t xml:space="preserve">Under crowded conditions, aggression depresses growth </w:t>
      </w:r>
      <w:r w:rsidR="00F521C0">
        <w:t>that</w:t>
      </w:r>
      <w:r w:rsidR="003753C6">
        <w:t xml:space="preserve"> results in </w:t>
      </w:r>
      <w:r w:rsidR="00F521C0">
        <w:t xml:space="preserve">the </w:t>
      </w:r>
      <w:r w:rsidR="003753C6">
        <w:t>deaths of subordinate conspecifics</w:t>
      </w:r>
      <w:r w:rsidR="00ED1DAC">
        <w:t>.</w:t>
      </w:r>
      <w:r w:rsidR="003753C6">
        <w:t xml:space="preserve"> </w:t>
      </w:r>
      <w:r w:rsidR="00ED1DAC">
        <w:t xml:space="preserve">In non-aggressive species like milkfish, crowding </w:t>
      </w:r>
      <w:r w:rsidR="00E87BA2">
        <w:t xml:space="preserve">significantly </w:t>
      </w:r>
      <w:r w:rsidR="00ED1DAC">
        <w:t>affects size variance hypothesized to have been caused by reduced food</w:t>
      </w:r>
      <w:r w:rsidR="00900B45">
        <w:t xml:space="preserve"> access in high density culture where fish are fed from the top. </w:t>
      </w:r>
      <w:r w:rsidR="00991068">
        <w:t xml:space="preserve"> </w:t>
      </w:r>
    </w:p>
    <w:p w:rsidR="005A1E24" w:rsidRDefault="00ED1DAC" w:rsidP="00991068">
      <w:pPr>
        <w:pStyle w:val="BodyText"/>
        <w:spacing w:before="90" w:line="280" w:lineRule="auto"/>
        <w:jc w:val="both"/>
      </w:pPr>
      <w:r>
        <w:t xml:space="preserve">The study aims to improve </w:t>
      </w:r>
      <w:r w:rsidR="00D30B96">
        <w:t xml:space="preserve">yield and profitability of </w:t>
      </w:r>
      <w:r>
        <w:t xml:space="preserve">milkfish production in high density culture </w:t>
      </w:r>
      <w:r w:rsidR="000D368E">
        <w:t>through bottom feeding</w:t>
      </w:r>
      <w:r>
        <w:t xml:space="preserve">. </w:t>
      </w:r>
      <w:r w:rsidR="0086498B">
        <w:t>With increased density,</w:t>
      </w:r>
      <w:r w:rsidR="00E87BA2">
        <w:t xml:space="preserve"> yield per unit volume </w:t>
      </w:r>
      <w:r w:rsidR="00EF0770" w:rsidRPr="00BC77F6">
        <w:t xml:space="preserve">is also expected </w:t>
      </w:r>
      <w:r w:rsidR="00EF0770">
        <w:t xml:space="preserve">to </w:t>
      </w:r>
      <w:r w:rsidR="0023227E">
        <w:t>increase</w:t>
      </w:r>
      <w:r w:rsidR="00E87BA2">
        <w:t xml:space="preserve"> thus</w:t>
      </w:r>
      <w:r w:rsidR="0023227E">
        <w:t xml:space="preserve"> diminish</w:t>
      </w:r>
      <w:r w:rsidR="00E87BA2">
        <w:t xml:space="preserve"> the</w:t>
      </w:r>
      <w:r w:rsidR="0086498B">
        <w:t xml:space="preserve"> area required </w:t>
      </w:r>
      <w:r w:rsidR="0023227E">
        <w:t>in generating equivalent production at lower stock densities.</w:t>
      </w:r>
      <w:r w:rsidR="00E87BA2">
        <w:t xml:space="preserve"> </w:t>
      </w:r>
      <w:r w:rsidR="0086498B">
        <w:t xml:space="preserve"> </w:t>
      </w:r>
    </w:p>
    <w:p w:rsidR="00AE3E37" w:rsidRDefault="003B677C" w:rsidP="00991068">
      <w:pPr>
        <w:pStyle w:val="BodyText"/>
        <w:spacing w:before="90" w:line="280" w:lineRule="auto"/>
        <w:jc w:val="both"/>
      </w:pPr>
      <w:r>
        <w:t>Milkfish at densities of 50 pieces m</w:t>
      </w:r>
      <w:r w:rsidR="00081970" w:rsidRPr="00E50215">
        <w:rPr>
          <w:vertAlign w:val="superscript"/>
        </w:rPr>
        <w:t>-</w:t>
      </w:r>
      <w:r w:rsidRPr="00E50215">
        <w:rPr>
          <w:vertAlign w:val="superscript"/>
        </w:rPr>
        <w:t>3</w:t>
      </w:r>
      <w:r>
        <w:t>, 75 pieces m</w:t>
      </w:r>
      <w:r w:rsidR="00081970" w:rsidRPr="00E50215">
        <w:rPr>
          <w:vertAlign w:val="superscript"/>
        </w:rPr>
        <w:t>-</w:t>
      </w:r>
      <w:r w:rsidRPr="00E50215">
        <w:rPr>
          <w:vertAlign w:val="superscript"/>
        </w:rPr>
        <w:t>3</w:t>
      </w:r>
      <w:r>
        <w:t xml:space="preserve"> and 100 pieces m</w:t>
      </w:r>
      <w:r w:rsidR="00081970" w:rsidRPr="00E50215">
        <w:rPr>
          <w:vertAlign w:val="superscript"/>
        </w:rPr>
        <w:t>-</w:t>
      </w:r>
      <w:r w:rsidRPr="00E50215">
        <w:rPr>
          <w:vertAlign w:val="superscript"/>
        </w:rPr>
        <w:t>3</w:t>
      </w:r>
      <w:r w:rsidR="005A1E24">
        <w:t xml:space="preserve"> were reared for 120 days in</w:t>
      </w:r>
      <w:r>
        <w:t xml:space="preserve"> </w:t>
      </w:r>
      <w:r w:rsidR="00BB6699" w:rsidRPr="00BC77F6">
        <w:t>re</w:t>
      </w:r>
      <w:r w:rsidR="00DA6D04" w:rsidRPr="00BC77F6">
        <w:t>plicated</w:t>
      </w:r>
      <w:r w:rsidR="00DA6D04" w:rsidRPr="009364A8">
        <w:rPr>
          <w:color w:val="C00000"/>
        </w:rPr>
        <w:t xml:space="preserve"> </w:t>
      </w:r>
      <w:r>
        <w:t xml:space="preserve">5mx5mx5m floating net cages in a marine cove with </w:t>
      </w:r>
      <w:r w:rsidR="00E50215">
        <w:t xml:space="preserve">a depth of 10 m and </w:t>
      </w:r>
      <w:r>
        <w:t xml:space="preserve">a flow rate of 8 cm sec </w:t>
      </w:r>
      <w:r w:rsidRPr="00E50215">
        <w:rPr>
          <w:vertAlign w:val="superscript"/>
        </w:rPr>
        <w:t>-1</w:t>
      </w:r>
      <w:r>
        <w:t xml:space="preserve">. Fish were </w:t>
      </w:r>
      <w:r w:rsidR="00E22D9E">
        <w:t xml:space="preserve">fed </w:t>
      </w:r>
      <w:r w:rsidR="00E50215">
        <w:t xml:space="preserve">floating pellets </w:t>
      </w:r>
      <w:r w:rsidR="0023227E">
        <w:t>through</w:t>
      </w:r>
      <w:r w:rsidR="00E22D9E">
        <w:t xml:space="preserve"> top </w:t>
      </w:r>
      <w:r w:rsidR="0023227E">
        <w:t xml:space="preserve">demand feeder </w:t>
      </w:r>
      <w:r w:rsidR="00E22D9E">
        <w:t xml:space="preserve">and </w:t>
      </w:r>
      <w:r w:rsidR="00EA5F78">
        <w:t>hydro-kinetic bottom feeder</w:t>
      </w:r>
      <w:r w:rsidR="00E22D9E">
        <w:t xml:space="preserve">. </w:t>
      </w:r>
    </w:p>
    <w:p w:rsidR="005A1E24" w:rsidRDefault="006200D1" w:rsidP="00991068">
      <w:pPr>
        <w:pStyle w:val="BodyText"/>
        <w:spacing w:before="90" w:line="280" w:lineRule="auto"/>
        <w:jc w:val="both"/>
      </w:pPr>
      <w:r>
        <w:t xml:space="preserve">Bottom feeding increased </w:t>
      </w:r>
      <w:r w:rsidR="00FA3293">
        <w:t xml:space="preserve">production of milkfish cultured at </w:t>
      </w:r>
      <w:r w:rsidR="00EA5F78">
        <w:t xml:space="preserve">very </w:t>
      </w:r>
      <w:r w:rsidR="00FA3293">
        <w:t xml:space="preserve">high density. </w:t>
      </w:r>
      <w:r>
        <w:t xml:space="preserve"> </w:t>
      </w:r>
      <w:r w:rsidR="00FA3293">
        <w:t xml:space="preserve">Net yield </w:t>
      </w:r>
      <w:r w:rsidR="00EA5F78">
        <w:t>(kg m</w:t>
      </w:r>
      <w:r w:rsidR="00EA5F78" w:rsidRPr="00EA5F78">
        <w:rPr>
          <w:vertAlign w:val="superscript"/>
        </w:rPr>
        <w:t>-3</w:t>
      </w:r>
      <w:r w:rsidR="00EA5F78">
        <w:t xml:space="preserve">) </w:t>
      </w:r>
      <w:r w:rsidR="00FA3293">
        <w:t>increased by 75%</w:t>
      </w:r>
      <w:r>
        <w:t xml:space="preserve"> </w:t>
      </w:r>
      <w:r w:rsidR="00E45D2F">
        <w:t xml:space="preserve">with </w:t>
      </w:r>
      <w:r w:rsidR="00FA3293">
        <w:t xml:space="preserve">the </w:t>
      </w:r>
      <w:r w:rsidR="00E45D2F">
        <w:t xml:space="preserve">doubling of </w:t>
      </w:r>
      <w:r w:rsidR="00FA3293">
        <w:t xml:space="preserve">stocking density </w:t>
      </w:r>
      <w:r w:rsidR="00E45D2F">
        <w:t>from 50 m</w:t>
      </w:r>
      <w:r w:rsidR="00E45D2F" w:rsidRPr="00E45D2F">
        <w:rPr>
          <w:vertAlign w:val="superscript"/>
        </w:rPr>
        <w:t>-3</w:t>
      </w:r>
      <w:r w:rsidR="00FA3293">
        <w:t xml:space="preserve"> </w:t>
      </w:r>
      <w:r w:rsidR="00E45D2F">
        <w:t>to 100 m</w:t>
      </w:r>
      <w:r w:rsidR="00E45D2F" w:rsidRPr="00E45D2F">
        <w:rPr>
          <w:vertAlign w:val="superscript"/>
        </w:rPr>
        <w:t>-3</w:t>
      </w:r>
      <w:r w:rsidR="0016144E">
        <w:t>. Size variance was reduced and</w:t>
      </w:r>
      <w:r w:rsidR="00FA3293">
        <w:t xml:space="preserve"> condition index (K) and feed conversion ratio (FCR)</w:t>
      </w:r>
      <w:r w:rsidR="007F54DF">
        <w:t xml:space="preserve"> were improved. </w:t>
      </w:r>
      <w:r w:rsidR="00EA5F78">
        <w:t xml:space="preserve">Bottom feeding optimizes food utilization through equitable and better access to food </w:t>
      </w:r>
      <w:r w:rsidR="007F54DF">
        <w:t>hence,</w:t>
      </w:r>
      <w:r w:rsidR="00EA5F78">
        <w:t xml:space="preserve"> </w:t>
      </w:r>
      <w:r w:rsidR="00EA5F78" w:rsidRPr="00AC2686">
        <w:t>reduc</w:t>
      </w:r>
      <w:r w:rsidR="00ED3029" w:rsidRPr="00AC2686">
        <w:t>es</w:t>
      </w:r>
      <w:r w:rsidR="00ED3029">
        <w:t xml:space="preserve"> </w:t>
      </w:r>
      <w:r w:rsidR="00223FC2">
        <w:t>feed wastage. Bottom feeding and high density stocking enhance</w:t>
      </w:r>
      <w:r w:rsidR="00BC77F6">
        <w:t>s</w:t>
      </w:r>
      <w:r w:rsidR="00223FC2">
        <w:t xml:space="preserve"> production efficiency</w:t>
      </w:r>
      <w:r w:rsidR="009709F0">
        <w:t xml:space="preserve"> without compromising environmental integrity.</w:t>
      </w:r>
    </w:p>
    <w:p w:rsidR="00EF0770" w:rsidRDefault="00EF0770" w:rsidP="00991068">
      <w:pPr>
        <w:pStyle w:val="BodyText"/>
        <w:spacing w:before="90" w:line="280" w:lineRule="auto"/>
        <w:jc w:val="both"/>
      </w:pPr>
    </w:p>
    <w:p w:rsidR="00AE3E37" w:rsidRDefault="00A9710C" w:rsidP="009A5201">
      <w:pPr>
        <w:pStyle w:val="Heading3"/>
        <w:spacing w:before="74"/>
        <w:rPr>
          <w:b w:val="0"/>
          <w:sz w:val="16"/>
        </w:rPr>
      </w:pPr>
      <w:r>
        <w:rPr>
          <w:b w:val="0"/>
        </w:rPr>
        <w:br w:type="column"/>
      </w:r>
      <w:r w:rsidR="00F45D23" w:rsidRPr="00F45D23">
        <w:rPr>
          <w:noProof/>
          <w:sz w:val="16"/>
          <w:lang w:val="en-PH" w:eastAsia="en-PH"/>
        </w:rPr>
        <w:lastRenderedPageBreak/>
        <w:drawing>
          <wp:inline distT="0" distB="0" distL="0" distR="0">
            <wp:extent cx="1392783" cy="1031443"/>
            <wp:effectExtent l="19050" t="0" r="0" b="0"/>
            <wp:docPr id="6" name="Picture 2" descr="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 descr="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p="http://schemas.openxmlformats.org/presentationml/2006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783" cy="1031443"/>
                    </a:xfrm>
                    <a:prstGeom prst="rect">
                      <a:avLst/>
                    </a:prstGeom>
                    <a:noFill/>
                    <a:extLst>
                      <a:ext uri="{909E8E84-426E-40DD-AFC4-6F175D3DCCD1}">
                        <a14:hiddenFill xmlns:lc="http://schemas.openxmlformats.org/drawingml/2006/lockedCanvas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="" xmlns:p="http://schemas.openxmlformats.org/presentationml/2006/main">
                          <a:solidFill>
                            <a:srgbClr val="FFFFFF"/>
                          </a:solidFill>
                        </a14:hiddenFill>
                      </a:ext>
                    </a:extLst>
                  </pic:spPr>
                </pic:pic>
              </a:graphicData>
            </a:graphic>
          </wp:inline>
        </w:drawing>
      </w:r>
      <w:r w:rsidR="00F45D23">
        <w:rPr>
          <w:b w:val="0"/>
          <w:sz w:val="16"/>
        </w:rPr>
        <w:t xml:space="preserve">      </w:t>
      </w:r>
      <w:r w:rsidR="00F45D23" w:rsidRPr="00F45D23">
        <w:rPr>
          <w:noProof/>
          <w:sz w:val="16"/>
          <w:lang w:val="en-PH" w:eastAsia="en-PH"/>
        </w:rPr>
        <w:drawing>
          <wp:inline distT="0" distB="0" distL="0" distR="0">
            <wp:extent cx="1700019" cy="1170432"/>
            <wp:effectExtent l="19050" t="0" r="0" b="0"/>
            <wp:docPr id="7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="http://schemas.openxmlformats.org/presentationml/2006/main" val="0"/>
                        </a:ext>
                      </a:extLst>
                    </a:blip>
                    <a:srcRect l="10303" t="31473" r="18079" b="29069"/>
                    <a:stretch/>
                  </pic:blipFill>
                  <pic:spPr bwMode="auto">
                    <a:xfrm>
                      <a:off x="0" y="0"/>
                      <a:ext cx="1699562" cy="1170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="http://schemas.openxmlformats.org/presentationml/2006/main"/>
                      </a:ext>
                    </a:extLst>
                  </pic:spPr>
                </pic:pic>
              </a:graphicData>
            </a:graphic>
          </wp:inline>
        </w:drawing>
      </w:r>
    </w:p>
    <w:p w:rsidR="00044198" w:rsidRDefault="00F45D23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</w:t>
      </w:r>
      <w:r w:rsidR="009A5201">
        <w:rPr>
          <w:rFonts w:ascii="Arial"/>
          <w:b/>
          <w:sz w:val="16"/>
        </w:rPr>
        <w:t xml:space="preserve">   </w:t>
      </w:r>
    </w:p>
    <w:p w:rsidR="00F45D23" w:rsidRDefault="00044198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     </w:t>
      </w:r>
      <w:r w:rsidR="00F45D23">
        <w:rPr>
          <w:rFonts w:ascii="Arial"/>
          <w:b/>
          <w:sz w:val="16"/>
        </w:rPr>
        <w:t xml:space="preserve">Test cage with bottom feeder    </w:t>
      </w:r>
      <w:r w:rsidR="009A5201">
        <w:rPr>
          <w:rFonts w:ascii="Arial"/>
          <w:b/>
          <w:sz w:val="16"/>
        </w:rPr>
        <w:t xml:space="preserve">    </w:t>
      </w:r>
      <w:r w:rsidR="00F45D23">
        <w:rPr>
          <w:rFonts w:ascii="Arial"/>
          <w:b/>
          <w:sz w:val="16"/>
        </w:rPr>
        <w:t xml:space="preserve"> </w:t>
      </w:r>
      <w:r w:rsidR="005E79AA">
        <w:rPr>
          <w:rFonts w:ascii="Arial"/>
          <w:b/>
          <w:sz w:val="16"/>
        </w:rPr>
        <w:t xml:space="preserve">    </w:t>
      </w:r>
      <w:r w:rsidR="00E87BA2">
        <w:rPr>
          <w:rFonts w:ascii="Arial"/>
          <w:b/>
          <w:sz w:val="16"/>
        </w:rPr>
        <w:t>Net Yield</w:t>
      </w:r>
      <w:r w:rsidR="00715C42">
        <w:rPr>
          <w:rFonts w:ascii="Arial"/>
          <w:b/>
          <w:sz w:val="16"/>
        </w:rPr>
        <w:t xml:space="preserve"> at three densities</w: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</w:r>
    </w:p>
    <w:p w:rsidR="004C4B1B" w:rsidRDefault="004C4B1B" w:rsidP="005973B9">
      <w:pPr>
        <w:spacing w:line="204" w:lineRule="exact"/>
        <w:rPr>
          <w:rFonts w:ascii="Arial"/>
          <w:b/>
          <w:sz w:val="20"/>
        </w:rPr>
      </w:pPr>
    </w:p>
    <w:p w:rsidR="001B4F34" w:rsidRPr="00EF5FFD" w:rsidRDefault="00D61213" w:rsidP="00EF5FFD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  <w:lang w:val="en-PH"/>
        </w:rPr>
      </w:pPr>
      <w:r w:rsidRPr="00EF5FFD">
        <w:rPr>
          <w:rFonts w:ascii="Calibri" w:eastAsia="Calibri" w:hAnsi="Calibri" w:cs="Calibri"/>
          <w:sz w:val="18"/>
          <w:lang w:val="fil-PH"/>
        </w:rPr>
        <w:t xml:space="preserve">Cruz, P. S. 1998. Prospects of milkfish sea cage farming. SEAFDEC Asian Aquaculture. Vol. XX. No. 5. </w:t>
      </w:r>
    </w:p>
    <w:p w:rsidR="00E26699" w:rsidRPr="00E26699" w:rsidRDefault="00D61213" w:rsidP="00EF5FFD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  <w:lang w:val="en-PH"/>
        </w:rPr>
      </w:pPr>
      <w:r w:rsidRPr="00E50215">
        <w:rPr>
          <w:rFonts w:ascii="Calibri" w:eastAsia="Calibri" w:hAnsi="Calibri" w:cs="Calibri"/>
          <w:sz w:val="18"/>
          <w:lang w:val="fil-PH"/>
        </w:rPr>
        <w:t xml:space="preserve"> Holmer, H., Marbá, N., Terrados, J., Duarte, C.M., and Fortes, M.D. 2002. Impacts of milkfish (</w:t>
      </w:r>
      <w:r w:rsidRPr="00E50215">
        <w:rPr>
          <w:rFonts w:ascii="Calibri" w:eastAsia="Calibri" w:hAnsi="Calibri" w:cs="Calibri"/>
          <w:i/>
          <w:iCs/>
          <w:sz w:val="18"/>
          <w:lang w:val="fil-PH"/>
        </w:rPr>
        <w:t>Chanos chanos</w:t>
      </w:r>
      <w:r w:rsidRPr="00E50215">
        <w:rPr>
          <w:rFonts w:ascii="Calibri" w:eastAsia="Calibri" w:hAnsi="Calibri" w:cs="Calibri"/>
          <w:sz w:val="18"/>
          <w:lang w:val="fil-PH"/>
        </w:rPr>
        <w:t xml:space="preserve">) aquaculture on carbon and nutrient fluxes in the Bolinao area, Philippines. Marine Pollution Bulletin. 44(7):685-696. </w:t>
      </w:r>
    </w:p>
    <w:p w:rsidR="001B4F34" w:rsidRPr="00E26699" w:rsidRDefault="00E26699" w:rsidP="00EF5FFD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  <w:lang w:val="en-PH"/>
        </w:rPr>
      </w:pPr>
      <w:r w:rsidRPr="00E26699">
        <w:rPr>
          <w:rFonts w:ascii="Calibri" w:eastAsia="Calibri" w:hAnsi="Calibri" w:cs="Calibri"/>
          <w:sz w:val="18"/>
          <w:lang w:val="fil-PH"/>
        </w:rPr>
        <w:t>Potthoff, M.T., and Christman, M.C. 2006. Growth depensation and group behavior in juvenile hybrid striped bass Morone chrysops x Morone saxatilis: effects of group membership, feeding method, ration size, and size disparity. J. F. Biol. 69,</w:t>
      </w:r>
      <w:r>
        <w:rPr>
          <w:rFonts w:ascii="Calibri" w:eastAsia="Calibri" w:hAnsi="Calibri" w:cs="Calibri"/>
          <w:sz w:val="18"/>
          <w:lang w:val="fil-PH"/>
        </w:rPr>
        <w:t xml:space="preserve"> </w:t>
      </w:r>
      <w:r w:rsidRPr="00E26699">
        <w:rPr>
          <w:rFonts w:ascii="Calibri" w:eastAsia="Calibri" w:hAnsi="Calibri" w:cs="Calibri"/>
          <w:sz w:val="18"/>
          <w:lang w:val="fil-PH"/>
        </w:rPr>
        <w:t>828-845.</w:t>
      </w:r>
    </w:p>
    <w:p w:rsidR="001B4F34" w:rsidRPr="00EF5FFD" w:rsidRDefault="00D61213" w:rsidP="00EF5FFD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  <w:lang w:val="en-PH"/>
        </w:rPr>
      </w:pPr>
      <w:r w:rsidRPr="00EF5FFD">
        <w:rPr>
          <w:rFonts w:ascii="Calibri" w:eastAsia="Calibri" w:hAnsi="Calibri" w:cs="Calibri"/>
          <w:sz w:val="18"/>
          <w:lang w:val="fil-PH"/>
        </w:rPr>
        <w:t xml:space="preserve">Saclauso, C.A., Humilde, P.M., and Maeda, </w:t>
      </w:r>
      <w:r w:rsidR="001E283A">
        <w:rPr>
          <w:rFonts w:ascii="Calibri" w:eastAsia="Calibri" w:hAnsi="Calibri" w:cs="Calibri"/>
          <w:sz w:val="18"/>
          <w:lang w:val="fil-PH"/>
        </w:rPr>
        <w:t>H</w:t>
      </w:r>
      <w:r w:rsidRPr="00EF5FFD">
        <w:rPr>
          <w:rFonts w:ascii="Calibri" w:eastAsia="Calibri" w:hAnsi="Calibri" w:cs="Calibri"/>
          <w:sz w:val="18"/>
          <w:lang w:val="fil-PH"/>
        </w:rPr>
        <w:t>. 2005. Yield and profitability of milkfish cage culture at varying density. UPV</w:t>
      </w:r>
      <w:r w:rsidR="00146B4A">
        <w:rPr>
          <w:rFonts w:ascii="Calibri" w:eastAsia="Calibri" w:hAnsi="Calibri" w:cs="Calibri"/>
          <w:sz w:val="18"/>
          <w:lang w:val="fil-PH"/>
        </w:rPr>
        <w:t xml:space="preserve"> </w:t>
      </w:r>
      <w:r w:rsidRPr="00EF5FFD">
        <w:rPr>
          <w:rFonts w:ascii="Calibri" w:eastAsia="Calibri" w:hAnsi="Calibri" w:cs="Calibri"/>
          <w:sz w:val="18"/>
          <w:lang w:val="fil-PH"/>
        </w:rPr>
        <w:t>J</w:t>
      </w:r>
      <w:r w:rsidR="00146B4A">
        <w:rPr>
          <w:rFonts w:ascii="Calibri" w:eastAsia="Calibri" w:hAnsi="Calibri" w:cs="Calibri"/>
          <w:sz w:val="18"/>
          <w:lang w:val="fil-PH"/>
        </w:rPr>
        <w:t>.</w:t>
      </w:r>
      <w:r w:rsidRPr="00EF5FFD">
        <w:rPr>
          <w:rFonts w:ascii="Calibri" w:eastAsia="Calibri" w:hAnsi="Calibri" w:cs="Calibri"/>
          <w:sz w:val="18"/>
          <w:lang w:val="fil-PH"/>
        </w:rPr>
        <w:t xml:space="preserve"> Nat. Sci. 10(1): 17-26 </w:t>
      </w:r>
    </w:p>
    <w:p w:rsidR="001B4F34" w:rsidRPr="00EF5FFD" w:rsidRDefault="00D61213" w:rsidP="00EF5FFD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  <w:lang w:val="en-PH"/>
        </w:rPr>
      </w:pPr>
      <w:r w:rsidRPr="00EF5FFD">
        <w:rPr>
          <w:rFonts w:ascii="Calibri" w:eastAsia="Calibri" w:hAnsi="Calibri" w:cs="Calibri"/>
          <w:sz w:val="18"/>
          <w:lang w:val="fil-PH"/>
        </w:rPr>
        <w:t xml:space="preserve">San Diego-McGlone, M.L., Azanza, R.V., Villanoy, C.L., and Jacinto, G.S. 2008. Eutrophic waters, algal bloom and fish kill in fish farming areas in Bolinao, Pangasinan, Philippines. Mar. Poll. Bull. 57:295-301. </w:t>
      </w:r>
    </w:p>
    <w:p w:rsidR="001B4F34" w:rsidRPr="00EF5FFD" w:rsidRDefault="00D61213" w:rsidP="00EF5FFD">
      <w:pPr>
        <w:numPr>
          <w:ilvl w:val="0"/>
          <w:numId w:val="4"/>
        </w:numPr>
        <w:spacing w:line="200" w:lineRule="exact"/>
        <w:jc w:val="both"/>
        <w:rPr>
          <w:rFonts w:ascii="Calibri" w:eastAsia="Calibri" w:hAnsi="Calibri" w:cs="Calibri"/>
          <w:sz w:val="18"/>
          <w:lang w:val="en-PH"/>
        </w:rPr>
      </w:pPr>
      <w:r w:rsidRPr="00EF5FFD">
        <w:rPr>
          <w:rFonts w:ascii="Calibri" w:eastAsia="Calibri" w:hAnsi="Calibri" w:cs="Calibri"/>
          <w:sz w:val="18"/>
          <w:lang w:val="fil-PH"/>
        </w:rPr>
        <w:t>Schram E., Van der Hul, J.W., Kamstra A., Verdegem, M.C.J. 2006. Stocking density-dependent growth of Dover sole (</w:t>
      </w:r>
      <w:r w:rsidRPr="00EF5FFD">
        <w:rPr>
          <w:rFonts w:ascii="Calibri" w:eastAsia="Calibri" w:hAnsi="Calibri" w:cs="Calibri"/>
          <w:i/>
          <w:iCs/>
          <w:sz w:val="18"/>
          <w:lang w:val="fil-PH"/>
        </w:rPr>
        <w:t>Solea solea</w:t>
      </w:r>
      <w:r w:rsidRPr="00EF5FFD">
        <w:rPr>
          <w:rFonts w:ascii="Calibri" w:eastAsia="Calibri" w:hAnsi="Calibri" w:cs="Calibri"/>
          <w:sz w:val="18"/>
          <w:lang w:val="fil-PH"/>
        </w:rPr>
        <w:t>). Aquaculture 252 (2006) 339-347. DOI: 10.1016/j.aquaculture.2005.07.011.</w:t>
      </w:r>
      <w:r w:rsidRPr="00EF5FFD">
        <w:rPr>
          <w:rFonts w:ascii="Calibri" w:eastAsia="Calibri" w:hAnsi="Calibri" w:cs="Calibri"/>
          <w:sz w:val="18"/>
          <w:lang w:val="en-PH"/>
        </w:rPr>
        <w:t xml:space="preserve"> 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C824D8">
      <w:pPr>
        <w:pStyle w:val="BodyText"/>
        <w:spacing w:line="40" w:lineRule="exact"/>
        <w:ind w:left="2202"/>
        <w:rPr>
          <w:rFonts w:ascii="Calibri"/>
          <w:sz w:val="4"/>
        </w:rPr>
      </w:pPr>
      <w:r w:rsidRPr="00C824D8">
        <w:rPr>
          <w:rFonts w:ascii="Calibri"/>
          <w:noProof/>
          <w:sz w:val="4"/>
        </w:rPr>
      </w:r>
      <w:r>
        <w:rPr>
          <w:rFonts w:ascii="Calibri"/>
          <w:noProof/>
          <w:sz w:val="4"/>
        </w:rPr>
        <w:pict>
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EF0770" w:rsidRDefault="00EF077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EF0770" w:rsidRDefault="00EF0770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ED3029" w:rsidRDefault="00ED3029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223FC2" w:rsidRDefault="00223FC2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:rsidR="00AE3E37" w:rsidRDefault="00CF32C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lastRenderedPageBreak/>
        <w:t>Dr. C.A. Saclauso</w:t>
      </w:r>
      <w:r w:rsidR="00347DA8">
        <w:rPr>
          <w:rFonts w:ascii="Arial"/>
          <w:sz w:val="14"/>
        </w:rPr>
        <w:t xml:space="preserve"> is a Professor and Dean of the College of Fisheries and Ocean Sciences of the University of the Philippines Visayas, Miagao, Iloilo, Philippines. His interest is on trophic ecology of fish particularly</w:t>
      </w:r>
      <w:r w:rsidR="004C4B1B">
        <w:rPr>
          <w:rFonts w:ascii="Arial"/>
          <w:sz w:val="14"/>
        </w:rPr>
        <w:t>,</w:t>
      </w:r>
      <w:r w:rsidR="00347DA8">
        <w:rPr>
          <w:rFonts w:ascii="Arial"/>
          <w:sz w:val="14"/>
        </w:rPr>
        <w:t xml:space="preserve"> the interaction of feeding </w:t>
      </w:r>
      <w:r w:rsidR="004C4B1B">
        <w:rPr>
          <w:rFonts w:ascii="Arial"/>
          <w:sz w:val="14"/>
        </w:rPr>
        <w:t xml:space="preserve">and social </w:t>
      </w:r>
      <w:r w:rsidR="00347DA8">
        <w:rPr>
          <w:rFonts w:ascii="Arial"/>
          <w:sz w:val="14"/>
        </w:rPr>
        <w:t>behavior with growth. His</w:t>
      </w:r>
      <w:r>
        <w:rPr>
          <w:rFonts w:ascii="Arial"/>
          <w:sz w:val="14"/>
        </w:rPr>
        <w:t xml:space="preserve"> early work on cage culture of milkfish in marine waters provided op</w:t>
      </w:r>
      <w:r w:rsidR="00155418">
        <w:rPr>
          <w:rFonts w:ascii="Arial"/>
          <w:sz w:val="14"/>
        </w:rPr>
        <w:t>portunity in addressing stock</w:t>
      </w:r>
      <w:r>
        <w:rPr>
          <w:rFonts w:ascii="Arial"/>
          <w:sz w:val="14"/>
        </w:rPr>
        <w:t xml:space="preserve"> density-dependent growth leading to the concept of bottom feeding</w:t>
      </w:r>
      <w:r w:rsidR="00347DA8">
        <w:rPr>
          <w:rFonts w:ascii="Arial"/>
          <w:sz w:val="14"/>
        </w:rPr>
        <w:t>. This paved the way for the development of the hydro-kinetic bottom feeder that improves feed access of fish in high density culture.</w:t>
      </w:r>
      <w:r>
        <w:rPr>
          <w:rFonts w:ascii="Arial"/>
          <w:sz w:val="14"/>
        </w:rPr>
        <w:t xml:space="preserve">  </w:t>
      </w:r>
      <w:r w:rsidR="00347DA8">
        <w:rPr>
          <w:rFonts w:ascii="Arial"/>
          <w:sz w:val="14"/>
        </w:rPr>
        <w:t>Dr. J.D. Toledo was formerly the Chief of SEAFDEC Aquaculture Department in the Philippines. He is presently the Technical Director of Feedmix Specialists Inc II at Pul</w:t>
      </w:r>
      <w:r w:rsidR="00155418">
        <w:rPr>
          <w:rFonts w:ascii="Arial"/>
          <w:sz w:val="14"/>
        </w:rPr>
        <w:t>ilan, Bulacan, Philippines. His</w:t>
      </w:r>
      <w:r>
        <w:rPr>
          <w:rFonts w:ascii="Arial"/>
          <w:sz w:val="14"/>
        </w:rPr>
        <w:t xml:space="preserve"> </w:t>
      </w:r>
      <w:r w:rsidR="00697E9A">
        <w:rPr>
          <w:rFonts w:ascii="Arial"/>
          <w:sz w:val="14"/>
        </w:rPr>
        <w:t>interest is on</w:t>
      </w:r>
      <w:r w:rsidR="00155418">
        <w:rPr>
          <w:rFonts w:ascii="Arial"/>
          <w:sz w:val="14"/>
        </w:rPr>
        <w:t xml:space="preserve"> the</w:t>
      </w:r>
      <w:r w:rsidR="00697E9A">
        <w:rPr>
          <w:rFonts w:ascii="Arial"/>
          <w:sz w:val="14"/>
        </w:rPr>
        <w:t xml:space="preserve"> reproductive biology of fish and in improving efficiency of operations for sustainable and profitable aquaculture production.</w:t>
      </w:r>
    </w:p>
    <w:p w:rsidR="00AE3E37" w:rsidRDefault="00A9710C" w:rsidP="004C4B1B">
      <w:pPr>
        <w:spacing w:before="62"/>
        <w:ind w:left="4217" w:right="4235"/>
        <w:jc w:val="center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2" w:history="1">
        <w:r w:rsidR="00B157BC" w:rsidRPr="00026D3C">
          <w:rPr>
            <w:rStyle w:val="Hyperlink"/>
            <w:rFonts w:ascii="Arial"/>
            <w:sz w:val="14"/>
          </w:rPr>
          <w:t>casaclauso@yahoo.com</w:t>
        </w:r>
      </w:hyperlink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p w:rsidR="00223FC2" w:rsidRDefault="00223FC2">
      <w:pPr>
        <w:pStyle w:val="BodyText"/>
        <w:spacing w:before="3"/>
        <w:rPr>
          <w:rFonts w:ascii="Minion Pro"/>
          <w:sz w:val="26"/>
        </w:rPr>
      </w:pPr>
    </w:p>
    <w:p w:rsidR="00223FC2" w:rsidRDefault="00223FC2" w:rsidP="00223FC2">
      <w:pPr>
        <w:pStyle w:val="BodyText"/>
        <w:spacing w:before="2"/>
        <w:rPr>
          <w:rFonts w:ascii="Arial"/>
          <w:sz w:val="19"/>
        </w:rPr>
      </w:pPr>
    </w:p>
    <w:p w:rsidR="00223FC2" w:rsidRDefault="00223FC2" w:rsidP="00223FC2">
      <w:pPr>
        <w:pStyle w:val="BodyText"/>
        <w:rPr>
          <w:rFonts w:ascii="Arial"/>
          <w:sz w:val="20"/>
        </w:rPr>
      </w:pPr>
    </w:p>
    <w:p w:rsidR="00223FC2" w:rsidRDefault="00223FC2" w:rsidP="00223FC2">
      <w:pPr>
        <w:pStyle w:val="BodyText"/>
        <w:rPr>
          <w:rFonts w:ascii="Arial"/>
          <w:sz w:val="20"/>
        </w:rPr>
      </w:pPr>
    </w:p>
    <w:p w:rsidR="00223FC2" w:rsidRDefault="00223FC2" w:rsidP="00223FC2">
      <w:pPr>
        <w:pStyle w:val="BodyText"/>
        <w:spacing w:before="7"/>
        <w:rPr>
          <w:rFonts w:ascii="Arial"/>
          <w:sz w:val="29"/>
        </w:rPr>
      </w:pPr>
    </w:p>
    <w:p w:rsidR="00223FC2" w:rsidRPr="00B21A57" w:rsidRDefault="00223FC2" w:rsidP="00223FC2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223FC2" w:rsidRDefault="00223FC2">
      <w:pPr>
        <w:pStyle w:val="BodyText"/>
        <w:spacing w:before="3"/>
        <w:rPr>
          <w:rFonts w:ascii="Minion Pro"/>
          <w:sz w:val="26"/>
        </w:rPr>
      </w:pPr>
    </w:p>
    <w:p w:rsidR="00223FC2" w:rsidRDefault="00223FC2">
      <w:pPr>
        <w:pStyle w:val="BodyText"/>
        <w:spacing w:before="3"/>
        <w:rPr>
          <w:rFonts w:ascii="Minion Pro"/>
          <w:sz w:val="26"/>
        </w:rPr>
      </w:pPr>
      <w:r w:rsidRPr="00E97E9E">
        <w:rPr>
          <w:rFonts w:ascii="Minion Pro"/>
          <w:i/>
          <w:sz w:val="26"/>
        </w:rPr>
        <w:t>Keywords</w:t>
      </w:r>
      <w:r>
        <w:rPr>
          <w:rFonts w:ascii="Minion Pro"/>
          <w:sz w:val="26"/>
        </w:rPr>
        <w:t xml:space="preserve">:  </w:t>
      </w:r>
      <w:r w:rsidR="00E2095B">
        <w:rPr>
          <w:rFonts w:ascii="Minion Pro"/>
          <w:sz w:val="26"/>
        </w:rPr>
        <w:t>Milkfish c</w:t>
      </w:r>
      <w:r w:rsidR="00BC77F6">
        <w:rPr>
          <w:rFonts w:ascii="Minion Pro"/>
          <w:sz w:val="26"/>
        </w:rPr>
        <w:t xml:space="preserve">age culture, </w:t>
      </w:r>
      <w:r w:rsidR="00E97E9E">
        <w:rPr>
          <w:rFonts w:ascii="Minion Pro"/>
          <w:sz w:val="26"/>
        </w:rPr>
        <w:t>b</w:t>
      </w:r>
      <w:r>
        <w:rPr>
          <w:rFonts w:ascii="Minion Pro"/>
          <w:sz w:val="26"/>
        </w:rPr>
        <w:t xml:space="preserve">ottom feeding, high density </w:t>
      </w:r>
      <w:r w:rsidR="00BC77F6">
        <w:rPr>
          <w:rFonts w:ascii="Minion Pro"/>
          <w:sz w:val="26"/>
        </w:rPr>
        <w:t>s</w:t>
      </w:r>
      <w:r>
        <w:rPr>
          <w:rFonts w:ascii="Minion Pro"/>
          <w:sz w:val="26"/>
        </w:rPr>
        <w:t>tocking</w:t>
      </w:r>
      <w:r w:rsidR="00BC77F6">
        <w:rPr>
          <w:rFonts w:ascii="Minion Pro"/>
          <w:sz w:val="26"/>
        </w:rPr>
        <w:t>, production efficiency, net yield, profitability</w:t>
      </w:r>
    </w:p>
    <w:sectPr w:rsidR="00223FC2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32E0F" w:rsidRDefault="00132E0F">
      <w:r>
        <w:separator/>
      </w:r>
    </w:p>
  </w:endnote>
  <w:endnote w:type="continuationSeparator" w:id="1">
    <w:p w:rsidR="00132E0F" w:rsidRDefault="00132E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824D8">
    <w:pPr>
      <w:pStyle w:val="BodyText"/>
      <w:spacing w:line="14" w:lineRule="auto"/>
      <w:rPr>
        <w:sz w:val="20"/>
      </w:rPr>
    </w:pPr>
    <w:r w:rsidRPr="00C824D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ISSN: 2167-0846 JPAR an open access journa</w:t>
                </w:r>
              </w:p>
            </w:txbxContent>
          </v:textbox>
          <w10:wrap anchorx="page" anchory="page"/>
        </v:shape>
      </w:pict>
    </w:r>
    <w:r w:rsidRPr="00C824D8">
      <w:rPr>
        <w:noProof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C824D8">
      <w:rPr>
        <w:noProof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3(Suppl)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32E0F" w:rsidRDefault="00132E0F">
      <w:r>
        <w:separator/>
      </w:r>
    </w:p>
  </w:footnote>
  <w:footnote w:type="continuationSeparator" w:id="1">
    <w:p w:rsidR="00132E0F" w:rsidRDefault="00132E0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C824D8">
    <w:pPr>
      <w:pStyle w:val="BodyText"/>
      <w:spacing w:line="14" w:lineRule="auto"/>
      <w:rPr>
        <w:sz w:val="20"/>
      </w:rPr>
    </w:pPr>
    <w:r w:rsidRPr="00C824D8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9710C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4"/>
                  </w:rPr>
                  <w:t xml:space="preserve">T Furuta et al., J Pai n Relief 2016, 5:3(Suppl) </w:t>
                </w:r>
                <w:hyperlink r:id="rId1">
                  <w:r w:rsidRPr="005B3A56">
                    <w:rPr>
                      <w:rFonts w:ascii="Arial"/>
                      <w:color w:val="FFFFFF" w:themeColor="background1"/>
                      <w:sz w:val="14"/>
                    </w:rPr>
                    <w:t>http://dx.doi.org/10.4172/2167-0846.C1.006</w:t>
                  </w:r>
                </w:hyperlink>
              </w:p>
            </w:txbxContent>
          </v:textbox>
          <w10:wrap anchorx="page" anchory="page"/>
        </v:shape>
      </w:pict>
    </w:r>
    <w:r w:rsidRPr="00C824D8">
      <w:rPr>
        <w:noProof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4B87DE0"/>
    <w:multiLevelType w:val="hybridMultilevel"/>
    <w:tmpl w:val="B0AE94D8"/>
    <w:lvl w:ilvl="0" w:tplc="9E50F1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</w:rPr>
    </w:lvl>
    <w:lvl w:ilvl="1" w:tplc="F970EBF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347A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B07D2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9DA67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9EC1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98601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B2A2B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DBE6F2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drawingGridHorizontalSpacing w:val="110"/>
  <w:displayHorizontalDrawingGridEvery w:val="2"/>
  <w:characterSpacingControl w:val="doNotCompress"/>
  <w:hdrShapeDefaults>
    <o:shapedefaults v:ext="edit" spidmax="16386"/>
    <o:shapelayout v:ext="edit">
      <o:idmap v:ext="edit" data="4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AE3E37"/>
    <w:rsid w:val="00011043"/>
    <w:rsid w:val="0002310D"/>
    <w:rsid w:val="00044198"/>
    <w:rsid w:val="00076E85"/>
    <w:rsid w:val="00081970"/>
    <w:rsid w:val="000A01AD"/>
    <w:rsid w:val="000D368E"/>
    <w:rsid w:val="000E2911"/>
    <w:rsid w:val="000F4CDD"/>
    <w:rsid w:val="00122952"/>
    <w:rsid w:val="001263DF"/>
    <w:rsid w:val="00132E0F"/>
    <w:rsid w:val="00146B4A"/>
    <w:rsid w:val="00155418"/>
    <w:rsid w:val="0016144E"/>
    <w:rsid w:val="00175257"/>
    <w:rsid w:val="001A3762"/>
    <w:rsid w:val="001B4F34"/>
    <w:rsid w:val="001B6A25"/>
    <w:rsid w:val="001E283A"/>
    <w:rsid w:val="00223FC2"/>
    <w:rsid w:val="00230287"/>
    <w:rsid w:val="0023227E"/>
    <w:rsid w:val="00236809"/>
    <w:rsid w:val="002650A2"/>
    <w:rsid w:val="00292ED9"/>
    <w:rsid w:val="003034DC"/>
    <w:rsid w:val="00347DA8"/>
    <w:rsid w:val="00356BA7"/>
    <w:rsid w:val="003753C6"/>
    <w:rsid w:val="003B49B8"/>
    <w:rsid w:val="003B677C"/>
    <w:rsid w:val="003C71EE"/>
    <w:rsid w:val="00404E5B"/>
    <w:rsid w:val="00414F7B"/>
    <w:rsid w:val="004355DC"/>
    <w:rsid w:val="004749B4"/>
    <w:rsid w:val="00494130"/>
    <w:rsid w:val="004C4B1B"/>
    <w:rsid w:val="004E1E19"/>
    <w:rsid w:val="004F0626"/>
    <w:rsid w:val="004F3523"/>
    <w:rsid w:val="00594062"/>
    <w:rsid w:val="005973B9"/>
    <w:rsid w:val="005A1E24"/>
    <w:rsid w:val="005B3A56"/>
    <w:rsid w:val="005E0315"/>
    <w:rsid w:val="005E79AA"/>
    <w:rsid w:val="005F781D"/>
    <w:rsid w:val="006060CE"/>
    <w:rsid w:val="00607EEC"/>
    <w:rsid w:val="006200D1"/>
    <w:rsid w:val="0063497F"/>
    <w:rsid w:val="0064093E"/>
    <w:rsid w:val="00697E9A"/>
    <w:rsid w:val="00715C42"/>
    <w:rsid w:val="0074190A"/>
    <w:rsid w:val="007A1C9B"/>
    <w:rsid w:val="007F54DF"/>
    <w:rsid w:val="00854A4B"/>
    <w:rsid w:val="0086498B"/>
    <w:rsid w:val="00873DF0"/>
    <w:rsid w:val="008756E6"/>
    <w:rsid w:val="008B1CEB"/>
    <w:rsid w:val="00900B45"/>
    <w:rsid w:val="0090776E"/>
    <w:rsid w:val="009364A8"/>
    <w:rsid w:val="009372CD"/>
    <w:rsid w:val="009461B1"/>
    <w:rsid w:val="00960DDE"/>
    <w:rsid w:val="009709F0"/>
    <w:rsid w:val="00991068"/>
    <w:rsid w:val="009A5201"/>
    <w:rsid w:val="009B2D44"/>
    <w:rsid w:val="009B5F1C"/>
    <w:rsid w:val="009F3FC1"/>
    <w:rsid w:val="00A07E82"/>
    <w:rsid w:val="00A26BC1"/>
    <w:rsid w:val="00A40302"/>
    <w:rsid w:val="00A71989"/>
    <w:rsid w:val="00A758CE"/>
    <w:rsid w:val="00A84092"/>
    <w:rsid w:val="00A9710C"/>
    <w:rsid w:val="00AC2686"/>
    <w:rsid w:val="00AC71EB"/>
    <w:rsid w:val="00AE3E37"/>
    <w:rsid w:val="00B0074C"/>
    <w:rsid w:val="00B157BC"/>
    <w:rsid w:val="00B21A57"/>
    <w:rsid w:val="00BB6699"/>
    <w:rsid w:val="00BB6E13"/>
    <w:rsid w:val="00BC77F6"/>
    <w:rsid w:val="00BD1A5D"/>
    <w:rsid w:val="00BE2D65"/>
    <w:rsid w:val="00C12FF6"/>
    <w:rsid w:val="00C33602"/>
    <w:rsid w:val="00C4563E"/>
    <w:rsid w:val="00C60E2E"/>
    <w:rsid w:val="00C67FF3"/>
    <w:rsid w:val="00C824D8"/>
    <w:rsid w:val="00CA681C"/>
    <w:rsid w:val="00CD6F55"/>
    <w:rsid w:val="00CF32CF"/>
    <w:rsid w:val="00D30B96"/>
    <w:rsid w:val="00D61213"/>
    <w:rsid w:val="00DA6D04"/>
    <w:rsid w:val="00DE3104"/>
    <w:rsid w:val="00E2095B"/>
    <w:rsid w:val="00E22D9E"/>
    <w:rsid w:val="00E26699"/>
    <w:rsid w:val="00E45D2F"/>
    <w:rsid w:val="00E50215"/>
    <w:rsid w:val="00E6159C"/>
    <w:rsid w:val="00E84E7A"/>
    <w:rsid w:val="00E87BA2"/>
    <w:rsid w:val="00E97E9E"/>
    <w:rsid w:val="00EA4CDA"/>
    <w:rsid w:val="00EA5F78"/>
    <w:rsid w:val="00ED1DAC"/>
    <w:rsid w:val="00ED3029"/>
    <w:rsid w:val="00EF0770"/>
    <w:rsid w:val="00EF5FFD"/>
    <w:rsid w:val="00F10203"/>
    <w:rsid w:val="00F45D23"/>
    <w:rsid w:val="00F521C0"/>
    <w:rsid w:val="00F54E44"/>
    <w:rsid w:val="00F72EEA"/>
    <w:rsid w:val="00F84CAE"/>
    <w:rsid w:val="00FA194B"/>
    <w:rsid w:val="00FA3293"/>
    <w:rsid w:val="00FF04C3"/>
    <w:rsid w:val="00FF2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link w:val="Heading3Char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1"/>
    <w:rsid w:val="00594062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ciencedirect.com/science/article/pii/S0044848699003531" TargetMode="External"/><Relationship Id="rId12" Type="http://schemas.openxmlformats.org/officeDocument/2006/relationships/hyperlink" Target="mailto:casaclauso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672</Words>
  <Characters>3837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3</cp:revision>
  <dcterms:created xsi:type="dcterms:W3CDTF">2017-01-27T02:08:00Z</dcterms:created>
  <dcterms:modified xsi:type="dcterms:W3CDTF">2017-01-27T02:09:00Z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