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298C" w:rsidRDefault="0091298C" w:rsidP="0091298C">
      <w:pPr>
        <w:ind w:firstLine="720"/>
      </w:pPr>
      <w:bookmarkStart w:id="0" w:name="_GoBack"/>
      <w:r>
        <w:t>Authors: KIMIA PARIDEHPOUR, Lianne Barnes, Matthew Lieberman PhD</w:t>
      </w:r>
    </w:p>
    <w:p w:rsidR="0091298C" w:rsidRDefault="0091298C" w:rsidP="0091298C">
      <w:pPr>
        <w:ind w:firstLine="720"/>
      </w:pPr>
      <w:r>
        <w:t>Abstract:</w:t>
      </w:r>
    </w:p>
    <w:p w:rsidR="00BF791D" w:rsidRDefault="00B93052" w:rsidP="009E6792">
      <w:pPr>
        <w:ind w:firstLine="720"/>
      </w:pPr>
      <w:r>
        <w:t xml:space="preserve">The severity of trauma’s impact is highly dependent on the life stage is inflicted upon (Ogle, Rubin, and </w:t>
      </w:r>
      <w:proofErr w:type="spellStart"/>
      <w:r>
        <w:t>Siegler</w:t>
      </w:r>
      <w:proofErr w:type="spellEnd"/>
      <w:r>
        <w:t xml:space="preserve">, 2013). </w:t>
      </w:r>
      <w:r w:rsidR="009E6792">
        <w:t xml:space="preserve">A growing body research suggests that early childhood trauma is linked to psychopathologies such as depression and anxiety and various personality </w:t>
      </w:r>
      <w:r w:rsidR="0051776F">
        <w:t>dis</w:t>
      </w:r>
      <w:r w:rsidR="009E6792">
        <w:t xml:space="preserve">orders (Cummings, Berkowitz, &amp; </w:t>
      </w:r>
      <w:proofErr w:type="spellStart"/>
      <w:r w:rsidR="009E6792">
        <w:t>Scribano</w:t>
      </w:r>
      <w:proofErr w:type="spellEnd"/>
      <w:r w:rsidR="009E6792">
        <w:t>, 2012). Though, the present study does not negate the impact of early childhood trauma, it aims to provide a new take on how the impacts of trauma are assessed. The present study hypothesizes that individuals who experienced a loss before the age of 14 in comparison to those who lost someone after 14, will</w:t>
      </w:r>
      <w:r w:rsidR="00E868A6">
        <w:t xml:space="preserve"> experience fewer adverse consequences (in terms of current stress)</w:t>
      </w:r>
      <w:r w:rsidR="009E6792">
        <w:t>. Women between the ages of 18-35 were prescreen</w:t>
      </w:r>
      <w:r w:rsidR="0051776F">
        <w:t>ed</w:t>
      </w:r>
      <w:r w:rsidR="009E6792">
        <w:t xml:space="preserve"> through Amazon Mechanical Turk </w:t>
      </w:r>
      <w:r>
        <w:t xml:space="preserve">and asked to report on their current condition. This analysis aims to find significance in the potential positive consequences of trauma if they occur before an age where the event is not central to identity formation. </w:t>
      </w:r>
      <w:r w:rsidR="00E868A6">
        <w:t>The study found that those who experienced before 14, did experience less self-harm, less personal distress, and less overall distress about the event.</w:t>
      </w:r>
    </w:p>
    <w:bookmarkEnd w:id="0"/>
    <w:p w:rsidR="00033ACA" w:rsidRDefault="00033ACA" w:rsidP="009E6792">
      <w:pPr>
        <w:ind w:firstLine="720"/>
      </w:pPr>
    </w:p>
    <w:sectPr w:rsidR="00033ACA" w:rsidSect="00FA06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792"/>
    <w:rsid w:val="00033ACA"/>
    <w:rsid w:val="0036292B"/>
    <w:rsid w:val="0051776F"/>
    <w:rsid w:val="0091298C"/>
    <w:rsid w:val="009E6792"/>
    <w:rsid w:val="00B93052"/>
    <w:rsid w:val="00BF791D"/>
    <w:rsid w:val="00E868A6"/>
    <w:rsid w:val="00FA0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EDA1D"/>
  <w14:defaultImageDpi w14:val="32767"/>
  <w15:chartTrackingRefBased/>
  <w15:docId w15:val="{7E8564D6-5B47-3645-B083-98EB27FC0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181</Words>
  <Characters>1034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Kimia Paridehpour</dc:creator>
  <cp:keywords/>
  <dc:description/>
  <cp:lastModifiedBy>Kimia Paridehpour</cp:lastModifiedBy>
  <cp:revision>5</cp:revision>
  <dcterms:created xsi:type="dcterms:W3CDTF">2018-05-04T05:24:00Z</dcterms:created>
  <dcterms:modified xsi:type="dcterms:W3CDTF">2018-06-01T04:50:00Z</dcterms:modified>
</cp:coreProperties>
</file>