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i/>
          <w:color w:val="auto"/>
          <w:spacing w:val="0"/>
          <w:position w:val="0"/>
          <w:sz w:val="24"/>
          <w:u w:val="single"/>
          <w:shd w:fill="auto" w:val="clear"/>
        </w:rPr>
      </w:pPr>
      <w:r>
        <w:rPr>
          <w:rFonts w:ascii="Times New Roman" w:hAnsi="Times New Roman" w:cs="Times New Roman" w:eastAsia="Times New Roman"/>
          <w:b/>
          <w:i/>
          <w:color w:val="auto"/>
          <w:spacing w:val="0"/>
          <w:position w:val="0"/>
          <w:sz w:val="24"/>
          <w:u w:val="single"/>
          <w:shd w:fill="auto" w:val="clear"/>
        </w:rPr>
        <w:t xml:space="preserve">Abstract </w:t>
      </w:r>
    </w:p>
    <w:p>
      <w:pPr>
        <w:spacing w:before="0" w:after="0" w:line="24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i/>
          <w:color w:val="auto"/>
          <w:spacing w:val="0"/>
          <w:position w:val="0"/>
          <w:sz w:val="24"/>
          <w:u w:val="single"/>
          <w:shd w:fill="auto" w:val="clear"/>
        </w:rPr>
        <w:t xml:space="preserve">Antimicrobial Resistance </w:t>
      </w:r>
      <w:r>
        <w:rPr>
          <w:rFonts w:ascii="Times New Roman" w:hAnsi="Times New Roman" w:cs="Times New Roman" w:eastAsia="Times New Roman"/>
          <w:b/>
          <w:color w:val="auto"/>
          <w:spacing w:val="0"/>
          <w:position w:val="0"/>
          <w:sz w:val="24"/>
          <w:u w:val="single"/>
          <w:shd w:fill="auto" w:val="clear"/>
        </w:rPr>
        <w:t xml:space="preserve">The</w:t>
      </w:r>
      <w:r>
        <w:rPr>
          <w:rFonts w:ascii="Times New Roman" w:hAnsi="Times New Roman" w:cs="Times New Roman" w:eastAsia="Times New Roman"/>
          <w:b/>
          <w:i/>
          <w:color w:val="auto"/>
          <w:spacing w:val="0"/>
          <w:position w:val="0"/>
          <w:sz w:val="24"/>
          <w:u w:val="single"/>
          <w:shd w:fill="auto" w:val="clear"/>
        </w:rPr>
        <w:t xml:space="preserve"> ERA of PAN Drug-Resistant organisms,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Infections caused by bacteria resistant to most available antibiotics, called multi-drug resistant organisms (MDRO), have been increasing worldwide during the last decade. Infections caused by MDRO are associated with high mortality and readmission rates. Our goal is to provide information about the epidemiology of MDRO in our area, and to provide guidance on how to control the spread of these bacteria inside and outside of the hospital. Our focus is on bacteria most frequently found in hospitalized patients: methicillin resistant </w:t>
      </w:r>
      <w:r>
        <w:rPr>
          <w:rFonts w:ascii="Times New Roman" w:hAnsi="Times New Roman" w:cs="Times New Roman" w:eastAsia="Times New Roman"/>
          <w:i/>
          <w:color w:val="auto"/>
          <w:spacing w:val="0"/>
          <w:position w:val="0"/>
          <w:sz w:val="24"/>
          <w:shd w:fill="auto" w:val="clear"/>
        </w:rPr>
        <w:t xml:space="preserve">Staphylococcus aureus</w:t>
      </w:r>
      <w:r>
        <w:rPr>
          <w:rFonts w:ascii="Times New Roman" w:hAnsi="Times New Roman" w:cs="Times New Roman" w:eastAsia="Times New Roman"/>
          <w:color w:val="auto"/>
          <w:spacing w:val="0"/>
          <w:position w:val="0"/>
          <w:sz w:val="24"/>
          <w:shd w:fill="auto" w:val="clear"/>
        </w:rPr>
        <w:t xml:space="preserve"> (MRSA), heterogeneous vancomycin-resistant </w:t>
      </w:r>
      <w:r>
        <w:rPr>
          <w:rFonts w:ascii="Times New Roman" w:hAnsi="Times New Roman" w:cs="Times New Roman" w:eastAsia="Times New Roman"/>
          <w:i/>
          <w:color w:val="auto"/>
          <w:spacing w:val="0"/>
          <w:position w:val="0"/>
          <w:sz w:val="24"/>
          <w:shd w:fill="auto" w:val="clear"/>
        </w:rPr>
        <w:t xml:space="preserve">Staphylococcus aureus</w:t>
      </w:r>
      <w:r>
        <w:rPr>
          <w:rFonts w:ascii="Times New Roman" w:hAnsi="Times New Roman" w:cs="Times New Roman" w:eastAsia="Times New Roman"/>
          <w:color w:val="auto"/>
          <w:spacing w:val="0"/>
          <w:position w:val="0"/>
          <w:sz w:val="24"/>
          <w:shd w:fill="auto" w:val="clear"/>
        </w:rPr>
        <w:t xml:space="preserve"> (hVISA), vancomycin-resistant </w:t>
      </w:r>
      <w:r>
        <w:rPr>
          <w:rFonts w:ascii="Times New Roman" w:hAnsi="Times New Roman" w:cs="Times New Roman" w:eastAsia="Times New Roman"/>
          <w:i/>
          <w:color w:val="auto"/>
          <w:spacing w:val="0"/>
          <w:position w:val="0"/>
          <w:sz w:val="24"/>
          <w:shd w:fill="auto" w:val="clear"/>
        </w:rPr>
        <w:t xml:space="preserve">Enterococci</w:t>
      </w:r>
      <w:r>
        <w:rPr>
          <w:rFonts w:ascii="Times New Roman" w:hAnsi="Times New Roman" w:cs="Times New Roman" w:eastAsia="Times New Roman"/>
          <w:color w:val="auto"/>
          <w:spacing w:val="0"/>
          <w:position w:val="0"/>
          <w:sz w:val="24"/>
          <w:shd w:fill="auto" w:val="clear"/>
        </w:rPr>
        <w:t xml:space="preserve"> (VRE) and resistant </w:t>
      </w:r>
      <w:r>
        <w:rPr>
          <w:rFonts w:ascii="Times New Roman" w:hAnsi="Times New Roman" w:cs="Times New Roman" w:eastAsia="Times New Roman"/>
          <w:i/>
          <w:color w:val="auto"/>
          <w:spacing w:val="0"/>
          <w:position w:val="0"/>
          <w:sz w:val="24"/>
          <w:shd w:fill="auto" w:val="clear"/>
        </w:rPr>
        <w:t xml:space="preserve">Enterobacteriacea</w:t>
      </w:r>
      <w:r>
        <w:rPr>
          <w:rFonts w:ascii="Times New Roman" w:hAnsi="Times New Roman" w:cs="Times New Roman" w:eastAsia="Times New Roman"/>
          <w:color w:val="auto"/>
          <w:spacing w:val="0"/>
          <w:position w:val="0"/>
          <w:sz w:val="24"/>
          <w:shd w:fill="auto" w:val="clear"/>
        </w:rPr>
        <w:t xml:space="preserve"> (for example </w:t>
      </w:r>
      <w:r>
        <w:rPr>
          <w:rFonts w:ascii="Times New Roman" w:hAnsi="Times New Roman" w:cs="Times New Roman" w:eastAsia="Times New Roman"/>
          <w:i/>
          <w:color w:val="auto"/>
          <w:spacing w:val="0"/>
          <w:position w:val="0"/>
          <w:sz w:val="24"/>
          <w:shd w:fill="auto" w:val="clear"/>
        </w:rPr>
        <w:t xml:space="preserve">Escherichia coli &amp; Klebsiella pneumoniae</w:t>
      </w:r>
      <w:r>
        <w:rPr>
          <w:rFonts w:ascii="Times New Roman" w:hAnsi="Times New Roman" w:cs="Times New Roman" w:eastAsia="Times New Roman"/>
          <w:color w:val="auto"/>
          <w:spacing w:val="0"/>
          <w:position w:val="0"/>
          <w:sz w:val="24"/>
          <w:shd w:fill="auto" w:val="clear"/>
        </w:rPr>
        <w:t xml:space="preserve">) and multi-drug resistant </w:t>
      </w:r>
      <w:r>
        <w:rPr>
          <w:rFonts w:ascii="Times New Roman" w:hAnsi="Times New Roman" w:cs="Times New Roman" w:eastAsia="Times New Roman"/>
          <w:i/>
          <w:color w:val="auto"/>
          <w:spacing w:val="0"/>
          <w:position w:val="0"/>
          <w:sz w:val="24"/>
          <w:shd w:fill="auto" w:val="clear"/>
        </w:rPr>
        <w:t xml:space="preserve">Pseudomonas aeruginosa</w:t>
      </w:r>
      <w:r>
        <w:rPr>
          <w:rFonts w:ascii="Times New Roman" w:hAnsi="Times New Roman" w:cs="Times New Roman" w:eastAsia="Times New Roman"/>
          <w:color w:val="auto"/>
          <w:spacing w:val="0"/>
          <w:position w:val="0"/>
          <w:sz w:val="24"/>
          <w:shd w:fill="auto" w:val="clear"/>
        </w:rPr>
        <w:t xml:space="preserve"> and </w:t>
      </w:r>
      <w:r>
        <w:rPr>
          <w:rFonts w:ascii="Times New Roman" w:hAnsi="Times New Roman" w:cs="Times New Roman" w:eastAsia="Times New Roman"/>
          <w:i/>
          <w:color w:val="auto"/>
          <w:spacing w:val="0"/>
          <w:position w:val="0"/>
          <w:sz w:val="24"/>
          <w:shd w:fill="auto" w:val="clear"/>
        </w:rPr>
        <w:t xml:space="preserve">Acinetobacter baumannii</w:t>
      </w:r>
      <w:r>
        <w:rPr>
          <w:rFonts w:ascii="Times New Roman" w:hAnsi="Times New Roman" w:cs="Times New Roman" w:eastAsia="Times New Roman"/>
          <w:color w:val="auto"/>
          <w:spacing w:val="0"/>
          <w:position w:val="0"/>
          <w:sz w:val="24"/>
          <w:shd w:fill="auto" w:val="clear"/>
        </w:rPr>
        <w:t xml:space="preserve">. In our hospital, the most frequently isolated organisms from different site of infection including (blood, sputum, tracheal aspirate, lavage, urine and wound), were </w:t>
      </w:r>
      <w:r>
        <w:rPr>
          <w:rFonts w:ascii="Times New Roman" w:hAnsi="Times New Roman" w:cs="Times New Roman" w:eastAsia="Times New Roman"/>
          <w:i/>
          <w:color w:val="auto"/>
          <w:spacing w:val="0"/>
          <w:position w:val="0"/>
          <w:sz w:val="24"/>
          <w:shd w:fill="auto" w:val="clear"/>
        </w:rPr>
        <w:t xml:space="preserve">E. coli </w:t>
      </w:r>
      <w:r>
        <w:rPr>
          <w:rFonts w:ascii="Times New Roman" w:hAnsi="Times New Roman" w:cs="Times New Roman" w:eastAsia="Times New Roman"/>
          <w:color w:val="auto"/>
          <w:spacing w:val="0"/>
          <w:position w:val="0"/>
          <w:sz w:val="24"/>
          <w:shd w:fill="auto" w:val="clear"/>
        </w:rPr>
        <w:t xml:space="preserve">(40% of isolates), </w:t>
      </w:r>
      <w:r>
        <w:rPr>
          <w:rFonts w:ascii="Times New Roman" w:hAnsi="Times New Roman" w:cs="Times New Roman" w:eastAsia="Times New Roman"/>
          <w:i/>
          <w:color w:val="auto"/>
          <w:spacing w:val="0"/>
          <w:position w:val="0"/>
          <w:sz w:val="24"/>
          <w:shd w:fill="auto" w:val="clear"/>
        </w:rPr>
        <w:t xml:space="preserve">P. aeruginosa</w:t>
      </w:r>
      <w:r>
        <w:rPr>
          <w:rFonts w:ascii="Times New Roman" w:hAnsi="Times New Roman" w:cs="Times New Roman" w:eastAsia="Times New Roman"/>
          <w:color w:val="auto"/>
          <w:spacing w:val="0"/>
          <w:position w:val="0"/>
          <w:sz w:val="24"/>
          <w:shd w:fill="auto" w:val="clear"/>
        </w:rPr>
        <w:t xml:space="preserve"> (21%), </w:t>
      </w:r>
      <w:r>
        <w:rPr>
          <w:rFonts w:ascii="Times New Roman" w:hAnsi="Times New Roman" w:cs="Times New Roman" w:eastAsia="Times New Roman"/>
          <w:i/>
          <w:color w:val="auto"/>
          <w:spacing w:val="0"/>
          <w:position w:val="0"/>
          <w:sz w:val="24"/>
          <w:shd w:fill="auto" w:val="clear"/>
        </w:rPr>
        <w:t xml:space="preserve">K. pneumoniae</w:t>
      </w:r>
      <w:r>
        <w:rPr>
          <w:rFonts w:ascii="Times New Roman" w:hAnsi="Times New Roman" w:cs="Times New Roman" w:eastAsia="Times New Roman"/>
          <w:color w:val="auto"/>
          <w:spacing w:val="0"/>
          <w:position w:val="0"/>
          <w:sz w:val="24"/>
          <w:shd w:fill="auto" w:val="clear"/>
        </w:rPr>
        <w:t xml:space="preserve"> (21%) and </w:t>
      </w:r>
      <w:r>
        <w:rPr>
          <w:rFonts w:ascii="Times New Roman" w:hAnsi="Times New Roman" w:cs="Times New Roman" w:eastAsia="Times New Roman"/>
          <w:i/>
          <w:color w:val="auto"/>
          <w:spacing w:val="0"/>
          <w:position w:val="0"/>
          <w:sz w:val="24"/>
          <w:shd w:fill="auto" w:val="clear"/>
        </w:rPr>
        <w:t xml:space="preserve">A. baumannii</w:t>
      </w:r>
      <w:r>
        <w:rPr>
          <w:rFonts w:ascii="Times New Roman" w:hAnsi="Times New Roman" w:cs="Times New Roman" w:eastAsia="Times New Roman"/>
          <w:color w:val="auto"/>
          <w:spacing w:val="0"/>
          <w:position w:val="0"/>
          <w:sz w:val="24"/>
          <w:shd w:fill="auto" w:val="clear"/>
        </w:rPr>
        <w:t xml:space="preserve"> (12%). Between 2006 and 2016, susceptibilities of </w:t>
      </w:r>
      <w:r>
        <w:rPr>
          <w:rFonts w:ascii="Times New Roman" w:hAnsi="Times New Roman" w:cs="Times New Roman" w:eastAsia="Times New Roman"/>
          <w:i/>
          <w:color w:val="auto"/>
          <w:spacing w:val="0"/>
          <w:position w:val="0"/>
          <w:sz w:val="24"/>
          <w:shd w:fill="auto" w:val="clear"/>
        </w:rPr>
        <w:t xml:space="preserve">A. baumannii &amp; P. aeruginosa</w:t>
      </w:r>
      <w:r>
        <w:rPr>
          <w:rFonts w:ascii="Times New Roman" w:hAnsi="Times New Roman" w:cs="Times New Roman" w:eastAsia="Times New Roman"/>
          <w:color w:val="auto"/>
          <w:spacing w:val="0"/>
          <w:position w:val="0"/>
          <w:sz w:val="24"/>
          <w:shd w:fill="auto" w:val="clear"/>
        </w:rPr>
        <w:t xml:space="preserve"> to meropenem and imipenem decreased from 81, 64 and 93, 86% to 3.5, 2.7 and 29.5, 25 % respectively. Between 2012 and 2016, </w:t>
      </w:r>
      <w:r>
        <w:rPr>
          <w:rFonts w:ascii="Times New Roman" w:hAnsi="Times New Roman" w:cs="Times New Roman" w:eastAsia="Times New Roman"/>
          <w:i/>
          <w:color w:val="auto"/>
          <w:spacing w:val="0"/>
          <w:position w:val="0"/>
          <w:sz w:val="24"/>
          <w:shd w:fill="auto" w:val="clear"/>
        </w:rPr>
        <w:t xml:space="preserve">E. coli </w:t>
      </w:r>
      <w:r>
        <w:rPr>
          <w:rFonts w:ascii="Times New Roman" w:hAnsi="Times New Roman" w:cs="Times New Roman" w:eastAsia="Times New Roman"/>
          <w:color w:val="auto"/>
          <w:spacing w:val="0"/>
          <w:position w:val="0"/>
          <w:sz w:val="24"/>
          <w:shd w:fill="auto" w:val="clear"/>
        </w:rPr>
        <w:t xml:space="preserve">and</w:t>
      </w:r>
      <w:r>
        <w:rPr>
          <w:rFonts w:ascii="Times New Roman" w:hAnsi="Times New Roman" w:cs="Times New Roman" w:eastAsia="Times New Roman"/>
          <w:i/>
          <w:color w:val="auto"/>
          <w:spacing w:val="0"/>
          <w:position w:val="0"/>
          <w:sz w:val="24"/>
          <w:shd w:fill="auto" w:val="clear"/>
        </w:rPr>
        <w:t xml:space="preserve"> K. pneumoniae</w:t>
      </w:r>
      <w:r>
        <w:rPr>
          <w:rFonts w:ascii="Times New Roman" w:hAnsi="Times New Roman" w:cs="Times New Roman" w:eastAsia="Times New Roman"/>
          <w:color w:val="auto"/>
          <w:spacing w:val="0"/>
          <w:position w:val="0"/>
          <w:sz w:val="24"/>
          <w:shd w:fill="auto" w:val="clear"/>
        </w:rPr>
        <w:t xml:space="preserve"> that produce extended-spectrum beta-lactamases (ESBLs) increased from 25% and 19% to 55 % and 43 % respectively. The first outbreak by ESBL-producing </w:t>
      </w:r>
      <w:r>
        <w:rPr>
          <w:rFonts w:ascii="Times New Roman" w:hAnsi="Times New Roman" w:cs="Times New Roman" w:eastAsia="Times New Roman"/>
          <w:i/>
          <w:color w:val="auto"/>
          <w:spacing w:val="0"/>
          <w:position w:val="0"/>
          <w:sz w:val="24"/>
          <w:shd w:fill="auto" w:val="clear"/>
        </w:rPr>
        <w:t xml:space="preserve">K. pneumoniae</w:t>
      </w:r>
      <w:r>
        <w:rPr>
          <w:rFonts w:ascii="Times New Roman" w:hAnsi="Times New Roman" w:cs="Times New Roman" w:eastAsia="Times New Roman"/>
          <w:color w:val="auto"/>
          <w:spacing w:val="0"/>
          <w:position w:val="0"/>
          <w:sz w:val="24"/>
          <w:shd w:fill="auto" w:val="clear"/>
        </w:rPr>
        <w:t xml:space="preserve"> in our NICU was in 2008, the resistant was carried by a ca.100-kb plasmid encoding beta-lactamase SHV-12 ESBL in Riyadh, KSA. VRE and MRSA were increased from 5 and 33% in 2006 to 25 and 44 % in 2016 respectively. The first strain of hVISA was isolated in our hospital in 2009 and was then characterized and published in 2010. Data from our IC surveillance reports an increase of MDRO between 2012 and 2017 was observed, (SSI, UTI &amp; BSI), (33 to 54, 35 to 49 and 17 to 43) respectively. Concerning pneumoniae the % was decreased in 2017 to 33 from 57 in 2012. Finally our last reseach published in 2019 the prevalence of CA-MRSA appears to be in rise globally and becom a worldwide majore health problem bothe in community and hospital predominantlyassocoated with purulent SSTIs . To reduce the number of heaithcare-acquired infections (HAI) caused by MDRO and their associated morbidity and mortality, successful administrative and scientific leadership is needed, along with financial and human resources commitment. Accurate and timely laboratory identification of bacteria with multidrug resistance is crucial. Accelerate Diagnostics for blood culture, identification and antibiotic susceptibility within 6 hours) &amp; (GeneXpert for MRSA, VRE, CRE &amp; TB). </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u w:val="single"/>
          <w:shd w:fill="auto" w:val="clear"/>
        </w:rPr>
        <w:t xml:space="preserve">Biography:</w:t>
      </w:r>
      <w:r>
        <w:rPr>
          <w:rFonts w:ascii="Times New Roman" w:hAnsi="Times New Roman" w:cs="Times New Roman" w:eastAsia="Times New Roman"/>
          <w:color w:val="auto"/>
          <w:spacing w:val="0"/>
          <w:position w:val="0"/>
          <w:sz w:val="24"/>
          <w:shd w:fill="auto" w:val="clear"/>
        </w:rPr>
        <w:t xml:space="preserve"> Suleiman Al-Obeid (jacques obeid) has completed his Residency in Internal Medicine in Syria at Damascus University, School of Medicine in 1977 and at the University of Paris VI in France. He has completed his Clinical and Microbiological research on; Mechanism of Antibiotic Action and Mechanism of Bacterial Resistance in the Molecular Research Laboratory at the University of Paris VI, Department Of Microbiology, and School of Medicine where he completed his PhD in 1990. He was Assistant Professor at Damascus University, School of Medicine since 1991. He is a Member in the French &amp; European Society of Microbiology. He has several scientific papers and projects either presented or published. He is an internationally recognized expert in many areas including infectious diseases &amp; clinical microbiologic research. He is a Reviewer for several international journals of clinical microbiology and infection control.</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