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AAD725" w14:textId="2F862CAB" w:rsidR="00BF6415" w:rsidRPr="00BF6415" w:rsidRDefault="001A173F" w:rsidP="00AB060C">
      <w:pPr>
        <w:pStyle w:val="Heading1"/>
        <w:spacing w:before="170"/>
        <w:ind w:left="0"/>
        <w:rPr>
          <w:color w:val="337AB7"/>
        </w:rPr>
      </w:pPr>
      <w:r w:rsidRPr="001A173F">
        <w:rPr>
          <w:color w:val="337AB7"/>
        </w:rPr>
        <w:t xml:space="preserve">Mini-Tn10 transposon </w:t>
      </w:r>
      <w:r w:rsidR="00BF6415">
        <w:rPr>
          <w:color w:val="337AB7"/>
        </w:rPr>
        <w:t xml:space="preserve">mutageneis to explore bacteriocin antibiotic coding genes and corresponding conjugative plasmid in </w:t>
      </w:r>
      <w:r w:rsidRPr="001A173F">
        <w:rPr>
          <w:i/>
          <w:color w:val="337AB7"/>
        </w:rPr>
        <w:t>Bacillus thuringiensis</w:t>
      </w:r>
      <w:r w:rsidRPr="001A173F">
        <w:rPr>
          <w:color w:val="337AB7"/>
        </w:rPr>
        <w:t xml:space="preserve"> </w:t>
      </w:r>
      <w:r w:rsidR="00BF6415">
        <w:rPr>
          <w:color w:val="337AB7"/>
        </w:rPr>
        <w:t>.</w:t>
      </w:r>
    </w:p>
    <w:p w14:paraId="6DA5ED63" w14:textId="496C6EFE" w:rsidR="00BF6415" w:rsidRPr="00BF6415" w:rsidRDefault="00BF6415" w:rsidP="00AB060C">
      <w:pPr>
        <w:pStyle w:val="BodyText"/>
        <w:spacing w:before="73" w:line="198" w:lineRule="exact"/>
        <w:ind w:right="5987"/>
        <w:rPr>
          <w:rFonts w:ascii="Arial"/>
        </w:rPr>
      </w:pPr>
      <w:r w:rsidRPr="00BF6415">
        <w:rPr>
          <w:rFonts w:ascii="Arial"/>
        </w:rPr>
        <w:t>Samir Jaoua</w:t>
      </w:r>
      <w:r w:rsidRPr="00BF6415">
        <w:rPr>
          <w:rFonts w:ascii="Arial"/>
          <w:vertAlign w:val="superscript"/>
        </w:rPr>
        <w:t>1</w:t>
      </w:r>
      <w:r>
        <w:rPr>
          <w:rFonts w:ascii="Arial"/>
        </w:rPr>
        <w:t>,</w:t>
      </w:r>
      <w:r w:rsidRPr="00BF6415">
        <w:rPr>
          <w:rFonts w:ascii="Arial"/>
        </w:rPr>
        <w:t> </w:t>
      </w:r>
      <w:r w:rsidRPr="00BF6415">
        <w:rPr>
          <w:rFonts w:ascii="Arial"/>
        </w:rPr>
        <w:t>Ines Ben Fguira</w:t>
      </w:r>
      <w:r w:rsidRPr="00BF6415">
        <w:rPr>
          <w:rFonts w:ascii="Arial"/>
          <w:vertAlign w:val="superscript"/>
        </w:rPr>
        <w:t>2</w:t>
      </w:r>
      <w:r>
        <w:rPr>
          <w:rFonts w:ascii="Arial"/>
        </w:rPr>
        <w:t xml:space="preserve"> and</w:t>
      </w:r>
      <w:r w:rsidRPr="00BF6415">
        <w:rPr>
          <w:rFonts w:ascii="Arial"/>
        </w:rPr>
        <w:t xml:space="preserve"> Fakher Kamoun</w:t>
      </w:r>
      <w:r w:rsidRPr="00BF6415">
        <w:rPr>
          <w:rFonts w:ascii="Arial"/>
          <w:vertAlign w:val="superscript"/>
        </w:rPr>
        <w:t>2</w:t>
      </w:r>
      <w:r w:rsidRPr="00BF6415">
        <w:rPr>
          <w:rFonts w:ascii="Arial"/>
        </w:rPr>
        <w:t xml:space="preserve"> </w:t>
      </w:r>
      <w:r>
        <w:rPr>
          <w:rFonts w:ascii="Arial"/>
        </w:rPr>
        <w:t xml:space="preserve"> </w:t>
      </w:r>
      <w:bookmarkStart w:id="0" w:name="_GoBack"/>
      <w:bookmarkEnd w:id="0"/>
    </w:p>
    <w:p w14:paraId="4A4F9E59" w14:textId="188503F0" w:rsidR="00BF6415" w:rsidRPr="00BF6415" w:rsidRDefault="00BF6415" w:rsidP="00BF6415">
      <w:pPr>
        <w:widowControl/>
        <w:rPr>
          <w:rFonts w:ascii="Arial" w:eastAsiaTheme="minorHAnsi" w:hAnsi="Arial" w:cs="Arial"/>
          <w:sz w:val="15"/>
          <w:szCs w:val="15"/>
        </w:rPr>
      </w:pPr>
      <w:r w:rsidRPr="00BF6415">
        <w:rPr>
          <w:rFonts w:ascii="Arial" w:eastAsiaTheme="minorHAnsi" w:hAnsi="Arial" w:cs="Arial"/>
          <w:iCs/>
          <w:sz w:val="15"/>
          <w:szCs w:val="15"/>
          <w:vertAlign w:val="superscript"/>
        </w:rPr>
        <w:t>1</w:t>
      </w:r>
      <w:r w:rsidRPr="00BF6415">
        <w:rPr>
          <w:rFonts w:ascii="Arial" w:eastAsiaTheme="minorHAnsi" w:hAnsi="Arial" w:cs="Arial"/>
          <w:iCs/>
          <w:sz w:val="15"/>
          <w:szCs w:val="15"/>
        </w:rPr>
        <w:t>Department of Biological and Environmental Sciences, College of Arts and Sciences, Qatar University, Doha, Qatar </w:t>
      </w:r>
    </w:p>
    <w:p w14:paraId="1190E1E8" w14:textId="41F4C483" w:rsidR="00BF6415" w:rsidRPr="00BF6415" w:rsidRDefault="00BF6415" w:rsidP="00BF6415">
      <w:pPr>
        <w:widowControl/>
        <w:rPr>
          <w:rFonts w:ascii="Arial" w:eastAsiaTheme="minorHAnsi" w:hAnsi="Arial" w:cs="Arial"/>
          <w:sz w:val="15"/>
          <w:szCs w:val="15"/>
        </w:rPr>
      </w:pPr>
      <w:r w:rsidRPr="00BF6415">
        <w:rPr>
          <w:rFonts w:ascii="Arial" w:eastAsiaTheme="minorHAnsi" w:hAnsi="Arial" w:cs="Arial"/>
          <w:iCs/>
          <w:sz w:val="15"/>
          <w:szCs w:val="15"/>
          <w:vertAlign w:val="superscript"/>
        </w:rPr>
        <w:t>2</w:t>
      </w:r>
      <w:r w:rsidRPr="00BF6415">
        <w:rPr>
          <w:rFonts w:ascii="Arial" w:eastAsiaTheme="minorHAnsi" w:hAnsi="Arial" w:cs="Arial"/>
          <w:iCs/>
          <w:sz w:val="15"/>
          <w:szCs w:val="15"/>
        </w:rPr>
        <w:t>Laboratory of Biopesticides, Centre of Biotechnology of Sfax, University of Sfax, Tunisia </w:t>
      </w:r>
    </w:p>
    <w:p w14:paraId="3D4A09B0" w14:textId="77777777" w:rsidR="00AE3E37" w:rsidRDefault="00AE3E37">
      <w:pPr>
        <w:pStyle w:val="BodyText"/>
        <w:spacing w:before="3"/>
        <w:rPr>
          <w:rFonts w:ascii="Arial"/>
          <w:sz w:val="21"/>
        </w:rPr>
      </w:pPr>
    </w:p>
    <w:p w14:paraId="5C62837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A5B81D1"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793EC0EC" w14:textId="0ACB6197" w:rsidR="00BF6415" w:rsidRPr="00BF6415" w:rsidRDefault="001A173F" w:rsidP="00BF6415">
      <w:pPr>
        <w:pStyle w:val="BodyText"/>
        <w:spacing w:before="90" w:line="280" w:lineRule="auto"/>
        <w:ind w:left="100"/>
        <w:jc w:val="both"/>
      </w:pPr>
      <w:r w:rsidRPr="003C42CA">
        <w:rPr>
          <w:i/>
        </w:rPr>
        <w:t>Bacillus thuringiensis</w:t>
      </w:r>
      <w:r w:rsidRPr="001A173F">
        <w:t xml:space="preserve"> </w:t>
      </w:r>
      <w:r>
        <w:t>strain BUPM4 is known for its ability to produce a</w:t>
      </w:r>
      <w:r>
        <w:t xml:space="preserve"> </w:t>
      </w:r>
      <w:r>
        <w:t>bacteriocin, called Bacthuricin F4 (BF4), which inhibits the growth of several</w:t>
      </w:r>
      <w:r>
        <w:t xml:space="preserve"> </w:t>
      </w:r>
      <w:r>
        <w:t xml:space="preserve">Gram-positive bacteria and particularly </w:t>
      </w:r>
      <w:r w:rsidRPr="001A173F">
        <w:t>Bacillaceae</w:t>
      </w:r>
      <w:r>
        <w:t>. This study aimed to use the</w:t>
      </w:r>
      <w:r>
        <w:t xml:space="preserve"> </w:t>
      </w:r>
      <w:r>
        <w:t>insertional transposon mutagenesis approach for disrupting and thus identifying</w:t>
      </w:r>
      <w:r>
        <w:t xml:space="preserve"> </w:t>
      </w:r>
      <w:r>
        <w:t>genes associated with BF4 synthesis. Here, the mini-Tn</w:t>
      </w:r>
      <w:r w:rsidRPr="001A173F">
        <w:t xml:space="preserve">10 </w:t>
      </w:r>
      <w:r>
        <w:t>transposon was used to</w:t>
      </w:r>
      <w:r>
        <w:t xml:space="preserve"> </w:t>
      </w:r>
      <w:r>
        <w:t xml:space="preserve">generate a library of </w:t>
      </w:r>
      <w:r w:rsidRPr="001A173F">
        <w:t xml:space="preserve">B. thuringiensis </w:t>
      </w:r>
      <w:r>
        <w:t>mutants. Twenty thousand clones were</w:t>
      </w:r>
      <w:r>
        <w:t xml:space="preserve"> </w:t>
      </w:r>
      <w:r>
        <w:t>screened for the search of mutants with affected bacteriocin synthesis. Bymolecular hybridization, it was demonstrated that the mini-Tn</w:t>
      </w:r>
      <w:r w:rsidRPr="001A173F">
        <w:t xml:space="preserve">10 </w:t>
      </w:r>
      <w:r>
        <w:t>transposition</w:t>
      </w:r>
      <w:r>
        <w:t xml:space="preserve"> </w:t>
      </w:r>
      <w:r>
        <w:t>occurred in different sites. Clone MB1, containing a mini-Tn</w:t>
      </w:r>
      <w:r w:rsidRPr="001A173F">
        <w:t xml:space="preserve">10 </w:t>
      </w:r>
      <w:r>
        <w:t>single-copy</w:t>
      </w:r>
      <w:r>
        <w:t xml:space="preserve"> </w:t>
      </w:r>
      <w:r>
        <w:t>insertion, lost the BF4 synthesis, but maintained its immunity to BF4. The flanking</w:t>
      </w:r>
      <w:r>
        <w:t xml:space="preserve"> </w:t>
      </w:r>
      <w:r>
        <w:t xml:space="preserve">sequences surrounding </w:t>
      </w:r>
      <w:r w:rsidRPr="00BF6415">
        <w:t>the mini-Tn</w:t>
      </w:r>
      <w:r w:rsidRPr="00BF6415">
        <w:t xml:space="preserve">10 </w:t>
      </w:r>
      <w:r w:rsidRPr="00BF6415">
        <w:t>insertio</w:t>
      </w:r>
      <w:r w:rsidR="00BF6415" w:rsidRPr="00BF6415">
        <w:t>n were cloned and sequenced</w:t>
      </w:r>
      <w:r w:rsidRPr="00BF6415">
        <w:t>.</w:t>
      </w:r>
      <w:r w:rsidR="00BF6415" w:rsidRPr="00BF6415">
        <w:t xml:space="preserve"> The bacteriocinogenic plasmid pIBF4 from </w:t>
      </w:r>
      <w:r w:rsidR="00BF6415" w:rsidRPr="00BF6415">
        <w:rPr>
          <w:i/>
        </w:rPr>
        <w:t>Bacillus thuringiensis</w:t>
      </w:r>
      <w:r w:rsidR="00BF6415" w:rsidRPr="00BF6415">
        <w:t xml:space="preserve"> responsible of Bacthuricin F4 synthesis was isolated and characterized. It has a molecular weight of 19.1 kb. Ninety-five percent of cells retained the pIBF4 plasmid after 200 generations, demonstrating its high stability. pIBF4 was successfully transferred to </w:t>
      </w:r>
      <w:r w:rsidR="00BF6415" w:rsidRPr="00BF6415">
        <w:rPr>
          <w:i/>
        </w:rPr>
        <w:t>Bacillus thuringiensis</w:t>
      </w:r>
      <w:r w:rsidR="00BF6415" w:rsidRPr="00BF6415">
        <w:t xml:space="preserve"> HD1CryB strain with a transfer frequency of 10</w:t>
      </w:r>
      <w:r w:rsidR="00BF6415" w:rsidRPr="003C42CA">
        <w:rPr>
          <w:vertAlign w:val="superscript"/>
        </w:rPr>
        <w:t>-</w:t>
      </w:r>
      <w:r w:rsidR="00BF6415" w:rsidRPr="00BF6415">
        <w:rPr>
          <w:vertAlign w:val="superscript"/>
        </w:rPr>
        <w:t>8</w:t>
      </w:r>
      <w:r w:rsidR="00BF6415" w:rsidRPr="00BF6415">
        <w:t xml:space="preserve"> transconjugants per donor cell. The study of the recipient host range revealed that pIBF4 is specifically transferable to </w:t>
      </w:r>
      <w:r w:rsidR="00BF6415" w:rsidRPr="00BF6415">
        <w:rPr>
          <w:i/>
        </w:rPr>
        <w:t>Bacillus thuringiensis</w:t>
      </w:r>
      <w:r w:rsidR="00BF6415" w:rsidRPr="00BF6415">
        <w:t xml:space="preserve"> strains with variable transfer frequencies depending on the recipient host strain. </w:t>
      </w:r>
    </w:p>
    <w:p w14:paraId="777C1BFC" w14:textId="41C3F63B" w:rsidR="00BF6415" w:rsidRPr="00BF6415" w:rsidRDefault="003C42CA" w:rsidP="00BF6415">
      <w:pPr>
        <w:pStyle w:val="BodyText"/>
        <w:spacing w:before="90" w:line="280" w:lineRule="auto"/>
        <w:ind w:left="100"/>
        <w:jc w:val="both"/>
      </w:pPr>
      <w:r>
        <w:t xml:space="preserve"> </w:t>
      </w:r>
    </w:p>
    <w:p w14:paraId="6623A383" w14:textId="77777777" w:rsidR="00BF6415" w:rsidRPr="00BF6415" w:rsidRDefault="00BF6415" w:rsidP="001A173F">
      <w:pPr>
        <w:pStyle w:val="BodyText"/>
        <w:spacing w:before="90" w:line="280" w:lineRule="auto"/>
        <w:ind w:left="100"/>
        <w:jc w:val="both"/>
      </w:pPr>
    </w:p>
    <w:p w14:paraId="38F1EA43" w14:textId="149141E1" w:rsidR="00AE3E37" w:rsidRDefault="00AB060C">
      <w:pPr>
        <w:pStyle w:val="Heading3"/>
        <w:spacing w:before="74"/>
      </w:pPr>
      <w:r w:rsidRPr="00B608E0">
        <w:rPr>
          <w:noProof/>
        </w:rPr>
        <w:drawing>
          <wp:anchor distT="0" distB="0" distL="114300" distR="114300" simplePos="0" relativeHeight="251659264" behindDoc="1" locked="0" layoutInCell="1" allowOverlap="1" wp14:anchorId="7F12EBA0" wp14:editId="53329346">
            <wp:simplePos x="0" y="0"/>
            <wp:positionH relativeFrom="column">
              <wp:posOffset>54610</wp:posOffset>
            </wp:positionH>
            <wp:positionV relativeFrom="paragraph">
              <wp:posOffset>1324083</wp:posOffset>
            </wp:positionV>
            <wp:extent cx="1011204" cy="1354824"/>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1204" cy="1354824"/>
                    </a:xfrm>
                    <a:prstGeom prst="rect">
                      <a:avLst/>
                    </a:prstGeom>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lastRenderedPageBreak/>
        <w:t>Image</w:t>
      </w:r>
    </w:p>
    <w:p w14:paraId="33B4E069" w14:textId="4C156832" w:rsidR="00AE3E37" w:rsidRDefault="00AE3E37">
      <w:pPr>
        <w:pStyle w:val="BodyText"/>
        <w:spacing w:before="2"/>
        <w:rPr>
          <w:rFonts w:ascii="Arial"/>
          <w:b/>
          <w:sz w:val="16"/>
        </w:rPr>
      </w:pPr>
    </w:p>
    <w:p w14:paraId="13FF42FF" w14:textId="3DC9D451" w:rsidR="001B5579" w:rsidRDefault="005A4B74" w:rsidP="005A4B74">
      <w:pPr>
        <w:pStyle w:val="p1"/>
        <w:rPr>
          <w:rFonts w:ascii="Helvetica" w:hAnsi="Helvetica"/>
          <w:sz w:val="11"/>
          <w:szCs w:val="11"/>
        </w:rPr>
      </w:pPr>
      <w:r w:rsidRPr="005A4B74">
        <w:t xml:space="preserve"> </w:t>
      </w:r>
    </w:p>
    <w:p w14:paraId="02E2EBFD" w14:textId="40173DE2" w:rsidR="005A4B74" w:rsidRDefault="005A4B74" w:rsidP="005A4B74">
      <w:pPr>
        <w:pStyle w:val="p1"/>
        <w:rPr>
          <w:rFonts w:ascii="Arial"/>
          <w:b/>
          <w:sz w:val="16"/>
        </w:rPr>
      </w:pPr>
      <w:r w:rsidRPr="005A4B74">
        <w:rPr>
          <w:rFonts w:ascii="Arial"/>
          <w:b/>
          <w:sz w:val="16"/>
        </w:rPr>
        <w:drawing>
          <wp:inline distT="0" distB="0" distL="0" distR="0" wp14:anchorId="56ADEB48" wp14:editId="27B873B1">
            <wp:extent cx="1966298" cy="18621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91807" cy="1886324"/>
                    </a:xfrm>
                    <a:prstGeom prst="rect">
                      <a:avLst/>
                    </a:prstGeom>
                  </pic:spPr>
                </pic:pic>
              </a:graphicData>
            </a:graphic>
          </wp:inline>
        </w:drawing>
      </w:r>
    </w:p>
    <w:p w14:paraId="16A3455F" w14:textId="77777777" w:rsidR="005A4B74" w:rsidRDefault="005A4B74" w:rsidP="005A4B74">
      <w:pPr>
        <w:pStyle w:val="BodyText"/>
        <w:spacing w:before="90" w:line="280" w:lineRule="auto"/>
        <w:jc w:val="both"/>
        <w:rPr>
          <w:b/>
        </w:rPr>
      </w:pPr>
    </w:p>
    <w:p w14:paraId="7D82289B" w14:textId="50F5807A" w:rsidR="005A4B74" w:rsidRPr="005A4B74" w:rsidRDefault="005A4B74" w:rsidP="005A4B74">
      <w:pPr>
        <w:pStyle w:val="BodyText"/>
        <w:spacing w:before="90" w:line="280" w:lineRule="auto"/>
        <w:ind w:left="100"/>
        <w:jc w:val="both"/>
      </w:pPr>
      <w:r w:rsidRPr="005A4B74">
        <w:rPr>
          <w:b/>
        </w:rPr>
        <w:t>Figure</w:t>
      </w:r>
      <w:r w:rsidRPr="005A4B74">
        <w:t xml:space="preserve"> . Restriction map of the plasmid pIBF4::miniTn10 carrying B. thuringiensis bacteriocin coding genes. pIBF4 and miniTn10 have sizes of 19.1 kb and 2.2 kb, respectively </w:t>
      </w:r>
    </w:p>
    <w:p w14:paraId="42B9E802" w14:textId="77777777" w:rsidR="001B5579" w:rsidRDefault="001B5579">
      <w:pPr>
        <w:pStyle w:val="BodyText"/>
        <w:spacing w:before="2"/>
        <w:rPr>
          <w:rFonts w:ascii="Arial"/>
          <w:b/>
          <w:sz w:val="16"/>
        </w:rPr>
      </w:pPr>
    </w:p>
    <w:p w14:paraId="3D11EE5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4791237" w14:textId="30736B14" w:rsidR="00896603" w:rsidRPr="00896603" w:rsidRDefault="00896603" w:rsidP="00896603">
      <w:pPr>
        <w:pStyle w:val="ListParagraph"/>
        <w:numPr>
          <w:ilvl w:val="0"/>
          <w:numId w:val="3"/>
        </w:numPr>
        <w:tabs>
          <w:tab w:val="left" w:pos="384"/>
        </w:tabs>
        <w:spacing w:before="103" w:line="216" w:lineRule="exact"/>
        <w:ind w:right="138" w:hanging="283"/>
        <w:rPr>
          <w:sz w:val="18"/>
        </w:rPr>
      </w:pPr>
      <w:r w:rsidRPr="00896603">
        <w:rPr>
          <w:sz w:val="18"/>
        </w:rPr>
        <w:t>Elleuch</w:t>
      </w:r>
      <w:r>
        <w:rPr>
          <w:sz w:val="18"/>
        </w:rPr>
        <w:t xml:space="preserve"> J</w:t>
      </w:r>
      <w:r w:rsidRPr="00896603">
        <w:rPr>
          <w:sz w:val="18"/>
        </w:rPr>
        <w:t>, Zribi</w:t>
      </w:r>
      <w:r>
        <w:rPr>
          <w:sz w:val="18"/>
        </w:rPr>
        <w:t xml:space="preserve"> R</w:t>
      </w:r>
      <w:r w:rsidRPr="00896603">
        <w:rPr>
          <w:sz w:val="18"/>
        </w:rPr>
        <w:t>, Lacoix</w:t>
      </w:r>
      <w:r>
        <w:rPr>
          <w:sz w:val="18"/>
        </w:rPr>
        <w:t xml:space="preserve"> M N</w:t>
      </w:r>
      <w:r w:rsidRPr="00896603">
        <w:rPr>
          <w:sz w:val="18"/>
        </w:rPr>
        <w:t>, Chandre</w:t>
      </w:r>
      <w:r>
        <w:rPr>
          <w:sz w:val="18"/>
        </w:rPr>
        <w:t xml:space="preserve"> F</w:t>
      </w:r>
      <w:r w:rsidRPr="00896603">
        <w:rPr>
          <w:sz w:val="18"/>
        </w:rPr>
        <w:t>, Tounsi</w:t>
      </w:r>
      <w:r>
        <w:rPr>
          <w:sz w:val="18"/>
        </w:rPr>
        <w:t xml:space="preserve"> S</w:t>
      </w:r>
      <w:r w:rsidRPr="00896603">
        <w:rPr>
          <w:sz w:val="18"/>
        </w:rPr>
        <w:t>, Jaoua</w:t>
      </w:r>
      <w:r>
        <w:rPr>
          <w:sz w:val="18"/>
        </w:rPr>
        <w:t xml:space="preserve">  S</w:t>
      </w:r>
      <w:r w:rsidRPr="00896603">
        <w:rPr>
          <w:sz w:val="18"/>
        </w:rPr>
        <w:t xml:space="preserve"> (2015) Evidence of two mechanisms involved in Bacillus thuringiensis israelensis decreased toxicity against mosquito larvae: Genomedynamic and toxins stability.  Microbiological Research 176</w:t>
      </w:r>
      <w:r w:rsidRPr="00896603">
        <w:rPr>
          <w:sz w:val="18"/>
        </w:rPr>
        <w:t> :</w:t>
      </w:r>
      <w:r w:rsidRPr="00896603">
        <w:rPr>
          <w:sz w:val="18"/>
        </w:rPr>
        <w:t xml:space="preserve"> 48–54</w:t>
      </w:r>
      <w:r>
        <w:rPr>
          <w:sz w:val="18"/>
        </w:rPr>
        <w:t>.</w:t>
      </w:r>
    </w:p>
    <w:p w14:paraId="33BC71A4" w14:textId="316FB694" w:rsidR="00896603" w:rsidRPr="00896603" w:rsidRDefault="00896603" w:rsidP="00896603">
      <w:pPr>
        <w:pStyle w:val="ListParagraph"/>
        <w:numPr>
          <w:ilvl w:val="0"/>
          <w:numId w:val="3"/>
        </w:numPr>
        <w:tabs>
          <w:tab w:val="left" w:pos="384"/>
        </w:tabs>
        <w:spacing w:before="103" w:line="216" w:lineRule="exact"/>
        <w:ind w:right="138" w:hanging="283"/>
        <w:rPr>
          <w:sz w:val="18"/>
        </w:rPr>
      </w:pPr>
      <w:r w:rsidRPr="00896603">
        <w:rPr>
          <w:sz w:val="18"/>
        </w:rPr>
        <w:t>Elleuch</w:t>
      </w:r>
      <w:r>
        <w:rPr>
          <w:sz w:val="18"/>
        </w:rPr>
        <w:t xml:space="preserve"> J,</w:t>
      </w:r>
      <w:r w:rsidRPr="00896603">
        <w:rPr>
          <w:sz w:val="18"/>
        </w:rPr>
        <w:t xml:space="preserve"> Jaoua</w:t>
      </w:r>
      <w:r>
        <w:rPr>
          <w:sz w:val="18"/>
        </w:rPr>
        <w:t xml:space="preserve"> S, </w:t>
      </w:r>
      <w:r w:rsidRPr="00896603">
        <w:rPr>
          <w:sz w:val="18"/>
        </w:rPr>
        <w:t>Tounsi</w:t>
      </w:r>
      <w:r>
        <w:rPr>
          <w:sz w:val="18"/>
        </w:rPr>
        <w:t xml:space="preserve"> S, </w:t>
      </w:r>
      <w:r w:rsidRPr="00896603">
        <w:rPr>
          <w:sz w:val="18"/>
        </w:rPr>
        <w:t xml:space="preserve">Zghal </w:t>
      </w:r>
      <w:r>
        <w:rPr>
          <w:sz w:val="18"/>
        </w:rPr>
        <w:t xml:space="preserve">R </w:t>
      </w:r>
      <w:r w:rsidRPr="00896603">
        <w:rPr>
          <w:sz w:val="18"/>
        </w:rPr>
        <w:t xml:space="preserve">(2016) Cry1Ac toxicity enhancement towards lepidopteran pest Ephestia kuehniella through its protection against excessive proteolysis. </w:t>
      </w:r>
      <w:r>
        <w:rPr>
          <w:sz w:val="18"/>
        </w:rPr>
        <w:t>Toxicon. 120:</w:t>
      </w:r>
      <w:r w:rsidRPr="00896603">
        <w:rPr>
          <w:sz w:val="18"/>
        </w:rPr>
        <w:t xml:space="preserve"> 42-48</w:t>
      </w:r>
      <w:r>
        <w:rPr>
          <w:sz w:val="18"/>
        </w:rPr>
        <w:t>.</w:t>
      </w:r>
    </w:p>
    <w:p w14:paraId="5F607A1E" w14:textId="269AFA3D" w:rsidR="00896603" w:rsidRPr="00896603" w:rsidRDefault="00896603" w:rsidP="00896603">
      <w:pPr>
        <w:pStyle w:val="ListParagraph"/>
        <w:numPr>
          <w:ilvl w:val="0"/>
          <w:numId w:val="3"/>
        </w:numPr>
        <w:tabs>
          <w:tab w:val="left" w:pos="384"/>
        </w:tabs>
        <w:spacing w:before="103" w:line="216" w:lineRule="exact"/>
        <w:ind w:right="138" w:hanging="283"/>
        <w:rPr>
          <w:sz w:val="18"/>
        </w:rPr>
      </w:pPr>
      <w:r w:rsidRPr="00896603">
        <w:rPr>
          <w:sz w:val="18"/>
        </w:rPr>
        <w:t>Hammami</w:t>
      </w:r>
      <w:r>
        <w:rPr>
          <w:sz w:val="18"/>
        </w:rPr>
        <w:t xml:space="preserve"> W</w:t>
      </w:r>
      <w:r w:rsidRPr="00896603">
        <w:rPr>
          <w:sz w:val="18"/>
        </w:rPr>
        <w:t>,</w:t>
      </w:r>
      <w:r>
        <w:rPr>
          <w:sz w:val="18"/>
        </w:rPr>
        <w:t xml:space="preserve"> Al-</w:t>
      </w:r>
      <w:r w:rsidRPr="00896603">
        <w:rPr>
          <w:sz w:val="18"/>
        </w:rPr>
        <w:t>Thani</w:t>
      </w:r>
      <w:r>
        <w:rPr>
          <w:sz w:val="18"/>
        </w:rPr>
        <w:t xml:space="preserve"> R, </w:t>
      </w:r>
      <w:r w:rsidRPr="00896603">
        <w:rPr>
          <w:sz w:val="18"/>
        </w:rPr>
        <w:t>Fiori</w:t>
      </w:r>
      <w:r>
        <w:rPr>
          <w:sz w:val="18"/>
        </w:rPr>
        <w:t xml:space="preserve"> S</w:t>
      </w:r>
      <w:r w:rsidRPr="00896603">
        <w:rPr>
          <w:sz w:val="18"/>
        </w:rPr>
        <w:t>, Al-Meer</w:t>
      </w:r>
      <w:r>
        <w:rPr>
          <w:sz w:val="18"/>
        </w:rPr>
        <w:t xml:space="preserve"> S</w:t>
      </w:r>
      <w:r w:rsidRPr="00896603">
        <w:rPr>
          <w:sz w:val="18"/>
        </w:rPr>
        <w:t>, Atia</w:t>
      </w:r>
      <w:r>
        <w:rPr>
          <w:sz w:val="18"/>
        </w:rPr>
        <w:t xml:space="preserve"> F</w:t>
      </w:r>
      <w:r w:rsidRPr="00896603">
        <w:rPr>
          <w:sz w:val="18"/>
        </w:rPr>
        <w:t>, Rabah</w:t>
      </w:r>
      <w:r>
        <w:rPr>
          <w:sz w:val="18"/>
        </w:rPr>
        <w:t xml:space="preserve"> D</w:t>
      </w:r>
      <w:r w:rsidRPr="00896603">
        <w:rPr>
          <w:sz w:val="18"/>
        </w:rPr>
        <w:t>, Migheli</w:t>
      </w:r>
      <w:r>
        <w:rPr>
          <w:sz w:val="18"/>
        </w:rPr>
        <w:t xml:space="preserve"> Q</w:t>
      </w:r>
      <w:r w:rsidRPr="00896603">
        <w:rPr>
          <w:sz w:val="18"/>
        </w:rPr>
        <w:t xml:space="preserve">, Jaoua </w:t>
      </w:r>
      <w:r>
        <w:rPr>
          <w:sz w:val="18"/>
        </w:rPr>
        <w:t>S</w:t>
      </w:r>
      <w:r w:rsidRPr="00896603">
        <w:rPr>
          <w:sz w:val="18"/>
        </w:rPr>
        <w:t>(2017) Patulin and patulin producing Penicillium spp.  occurrence in apples and apple-based products including baby foodJ Infect Dev Ctries</w:t>
      </w:r>
      <w:r>
        <w:rPr>
          <w:sz w:val="18"/>
        </w:rPr>
        <w:t xml:space="preserve"> 11:</w:t>
      </w:r>
      <w:r w:rsidRPr="00896603">
        <w:rPr>
          <w:sz w:val="18"/>
        </w:rPr>
        <w:t xml:space="preserve"> 343-349</w:t>
      </w:r>
      <w:r>
        <w:rPr>
          <w:sz w:val="18"/>
        </w:rPr>
        <w:t>.</w:t>
      </w:r>
    </w:p>
    <w:p w14:paraId="1339AD10" w14:textId="3D7FAB6C" w:rsidR="00896603" w:rsidRPr="00896603" w:rsidRDefault="00896603" w:rsidP="00896603">
      <w:pPr>
        <w:pStyle w:val="ListParagraph"/>
        <w:numPr>
          <w:ilvl w:val="0"/>
          <w:numId w:val="3"/>
        </w:numPr>
        <w:tabs>
          <w:tab w:val="left" w:pos="384"/>
        </w:tabs>
        <w:spacing w:before="103" w:line="216" w:lineRule="exact"/>
        <w:ind w:right="138" w:hanging="283"/>
        <w:rPr>
          <w:sz w:val="18"/>
        </w:rPr>
      </w:pPr>
      <w:r w:rsidRPr="00896603">
        <w:rPr>
          <w:sz w:val="18"/>
        </w:rPr>
        <w:t>Monti</w:t>
      </w:r>
      <w:r>
        <w:rPr>
          <w:sz w:val="18"/>
        </w:rPr>
        <w:t xml:space="preserve"> P</w:t>
      </w:r>
      <w:r w:rsidRPr="00896603">
        <w:rPr>
          <w:sz w:val="18"/>
        </w:rPr>
        <w:t>, Calia</w:t>
      </w:r>
      <w:r>
        <w:rPr>
          <w:sz w:val="18"/>
        </w:rPr>
        <w:t xml:space="preserve"> G</w:t>
      </w:r>
      <w:r w:rsidRPr="00896603">
        <w:rPr>
          <w:sz w:val="18"/>
        </w:rPr>
        <w:t>, Marceddu</w:t>
      </w:r>
      <w:r>
        <w:rPr>
          <w:sz w:val="18"/>
        </w:rPr>
        <w:t xml:space="preserve"> S, </w:t>
      </w:r>
      <w:r w:rsidRPr="00896603">
        <w:rPr>
          <w:sz w:val="18"/>
        </w:rPr>
        <w:t>Dettori</w:t>
      </w:r>
      <w:r>
        <w:rPr>
          <w:sz w:val="18"/>
        </w:rPr>
        <w:t xml:space="preserve"> M</w:t>
      </w:r>
      <w:r w:rsidRPr="00896603">
        <w:rPr>
          <w:sz w:val="18"/>
        </w:rPr>
        <w:t>, Dettori</w:t>
      </w:r>
      <w:r>
        <w:rPr>
          <w:sz w:val="18"/>
        </w:rPr>
        <w:t xml:space="preserve"> M</w:t>
      </w:r>
      <w:r w:rsidRPr="00896603">
        <w:rPr>
          <w:sz w:val="18"/>
        </w:rPr>
        <w:t>, Jaoua</w:t>
      </w:r>
      <w:r>
        <w:rPr>
          <w:sz w:val="18"/>
        </w:rPr>
        <w:t xml:space="preserve"> S</w:t>
      </w:r>
      <w:r w:rsidRPr="00896603">
        <w:rPr>
          <w:sz w:val="18"/>
        </w:rPr>
        <w:t>, D. O'Neill</w:t>
      </w:r>
      <w:r>
        <w:rPr>
          <w:sz w:val="18"/>
        </w:rPr>
        <w:t xml:space="preserve"> R</w:t>
      </w:r>
      <w:r w:rsidRPr="00896603">
        <w:rPr>
          <w:sz w:val="18"/>
        </w:rPr>
        <w:t>, Migheli</w:t>
      </w:r>
      <w:r>
        <w:rPr>
          <w:sz w:val="18"/>
        </w:rPr>
        <w:t xml:space="preserve"> Q</w:t>
      </w:r>
      <w:r w:rsidRPr="00896603">
        <w:rPr>
          <w:sz w:val="18"/>
        </w:rPr>
        <w:t>, Delogu</w:t>
      </w:r>
      <w:r>
        <w:rPr>
          <w:sz w:val="18"/>
        </w:rPr>
        <w:t xml:space="preserve"> G</w:t>
      </w:r>
      <w:r w:rsidRPr="00896603">
        <w:rPr>
          <w:sz w:val="18"/>
        </w:rPr>
        <w:t xml:space="preserve">, Serra </w:t>
      </w:r>
      <w:r>
        <w:rPr>
          <w:sz w:val="18"/>
        </w:rPr>
        <w:t xml:space="preserve">P </w:t>
      </w:r>
      <w:r w:rsidRPr="00896603">
        <w:rPr>
          <w:sz w:val="18"/>
        </w:rPr>
        <w:t>(2017) Low electro-synthesis potentials improve permselectivity of polymerized natural phenols in biosensor applications. Talanta, 162</w:t>
      </w:r>
      <w:r>
        <w:rPr>
          <w:sz w:val="18"/>
        </w:rPr>
        <w:t>:</w:t>
      </w:r>
      <w:r w:rsidRPr="00896603">
        <w:rPr>
          <w:sz w:val="18"/>
        </w:rPr>
        <w:t xml:space="preserve"> 151–158</w:t>
      </w:r>
      <w:r>
        <w:rPr>
          <w:sz w:val="18"/>
        </w:rPr>
        <w:t>.</w:t>
      </w:r>
    </w:p>
    <w:p w14:paraId="26B10253" w14:textId="74085ED0" w:rsidR="00896603" w:rsidRPr="00896603" w:rsidRDefault="00896603" w:rsidP="00896603">
      <w:pPr>
        <w:pStyle w:val="ListParagraph"/>
        <w:numPr>
          <w:ilvl w:val="0"/>
          <w:numId w:val="3"/>
        </w:numPr>
        <w:tabs>
          <w:tab w:val="left" w:pos="384"/>
        </w:tabs>
        <w:spacing w:before="103" w:line="216" w:lineRule="exact"/>
        <w:ind w:right="138" w:hanging="283"/>
        <w:rPr>
          <w:sz w:val="18"/>
        </w:rPr>
      </w:pPr>
      <w:r w:rsidRPr="00896603">
        <w:rPr>
          <w:sz w:val="18"/>
        </w:rPr>
        <w:t>Ul Hassan</w:t>
      </w:r>
      <w:r>
        <w:rPr>
          <w:sz w:val="18"/>
        </w:rPr>
        <w:t xml:space="preserve"> Z</w:t>
      </w:r>
      <w:r w:rsidRPr="00896603">
        <w:rPr>
          <w:sz w:val="18"/>
        </w:rPr>
        <w:t>, Al-Thani</w:t>
      </w:r>
      <w:r>
        <w:rPr>
          <w:sz w:val="18"/>
        </w:rPr>
        <w:t xml:space="preserve"> R</w:t>
      </w:r>
      <w:r w:rsidRPr="00896603">
        <w:rPr>
          <w:sz w:val="18"/>
        </w:rPr>
        <w:t>, Migheli</w:t>
      </w:r>
      <w:r>
        <w:rPr>
          <w:sz w:val="18"/>
        </w:rPr>
        <w:t xml:space="preserve"> Q</w:t>
      </w:r>
      <w:r w:rsidRPr="00896603">
        <w:rPr>
          <w:sz w:val="18"/>
        </w:rPr>
        <w:t>, Jaoua</w:t>
      </w:r>
      <w:r>
        <w:rPr>
          <w:sz w:val="18"/>
        </w:rPr>
        <w:t xml:space="preserve"> S</w:t>
      </w:r>
      <w:r w:rsidRPr="00896603">
        <w:rPr>
          <w:sz w:val="18"/>
        </w:rPr>
        <w:t xml:space="preserve"> (2018) Detection of toxigenic mycobiota and mycotoxins in cereal feed market" </w:t>
      </w:r>
      <w:r>
        <w:rPr>
          <w:sz w:val="18"/>
        </w:rPr>
        <w:t xml:space="preserve">Food control </w:t>
      </w:r>
      <w:r w:rsidRPr="00896603">
        <w:rPr>
          <w:sz w:val="18"/>
        </w:rPr>
        <w:t>84</w:t>
      </w:r>
      <w:r>
        <w:rPr>
          <w:sz w:val="18"/>
        </w:rPr>
        <w:t>:</w:t>
      </w:r>
      <w:r w:rsidRPr="00896603">
        <w:rPr>
          <w:sz w:val="18"/>
        </w:rPr>
        <w:t xml:space="preserve"> 389-394</w:t>
      </w:r>
      <w:r>
        <w:rPr>
          <w:sz w:val="18"/>
        </w:rPr>
        <w:t>.</w:t>
      </w:r>
    </w:p>
    <w:p w14:paraId="08283555" w14:textId="0F9057D4"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992A897" w14:textId="2174B004" w:rsidR="00AE3E37" w:rsidRDefault="00AE3E37">
      <w:pPr>
        <w:pStyle w:val="BodyText"/>
        <w:rPr>
          <w:rFonts w:ascii="Calibri"/>
          <w:sz w:val="20"/>
        </w:rPr>
      </w:pPr>
    </w:p>
    <w:p w14:paraId="5A5A70DC"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95A8239" wp14:editId="404289F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AA8971D" w14:textId="2F18AACE" w:rsidR="00AE3E37"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(150 word limit)</w:t>
      </w:r>
    </w:p>
    <w:p w14:paraId="2ADC385D" w14:textId="2B79FB2C" w:rsidR="005057D2" w:rsidRPr="005057D2" w:rsidRDefault="005057D2" w:rsidP="005057D2">
      <w:pPr>
        <w:spacing w:before="41" w:line="154" w:lineRule="exact"/>
        <w:ind w:left="213" w:right="231"/>
        <w:jc w:val="both"/>
        <w:rPr>
          <w:rFonts w:ascii="Arial"/>
          <w:sz w:val="14"/>
        </w:rPr>
      </w:pPr>
      <w:r w:rsidRPr="005057D2">
        <w:rPr>
          <w:rFonts w:ascii="Arial"/>
          <w:sz w:val="14"/>
        </w:rPr>
        <w:t xml:space="preserve">Samir Jaoua, PhD from the University of Technology of Compiegne (UTC, France), is currently Professor at the Department of Biological and Environmental Sciences (CAS, QU). He is also Qualified Professor of France Universities </w:t>
      </w:r>
      <w:r w:rsidRPr="005057D2">
        <w:rPr>
          <w:rFonts w:ascii="Arial"/>
          <w:sz w:val="14"/>
        </w:rPr>
        <w:t>“</w:t>
      </w:r>
      <w:r w:rsidRPr="005057D2">
        <w:rPr>
          <w:rFonts w:ascii="Arial"/>
          <w:sz w:val="14"/>
        </w:rPr>
        <w:t>Section 64: Molecular Biology and Biochemistry</w:t>
      </w:r>
      <w:r w:rsidRPr="005057D2">
        <w:rPr>
          <w:rFonts w:ascii="Arial"/>
          <w:sz w:val="14"/>
        </w:rPr>
        <w:t>”</w:t>
      </w:r>
      <w:r w:rsidRPr="005057D2">
        <w:rPr>
          <w:rFonts w:ascii="Arial"/>
          <w:sz w:val="14"/>
        </w:rPr>
        <w:t xml:space="preserve"> and Professor at the University of Sfax (Tunisia) and having been previously Director of Laboratory at the Center of Biotechnology of Sfax (University of Sfax- Tunisia). He is molecular and microbial geneticist, having more than </w:t>
      </w:r>
      <w:r w:rsidRPr="005057D2">
        <w:rPr>
          <w:rFonts w:ascii="Arial"/>
          <w:sz w:val="14"/>
        </w:rPr>
        <w:t>30 years of experience</w:t>
      </w:r>
      <w:r w:rsidRPr="005057D2">
        <w:rPr>
          <w:rFonts w:ascii="Arial"/>
          <w:sz w:val="14"/>
        </w:rPr>
        <w:t xml:space="preserve"> in the fields of molecular and microbial Biotechnology in different countries: France, Switzerland, Belgium, Germany, Tunisia and Qatar. He is the author of 118 publications with impact factors; H-index: 30 and served as member, Chair, and General Chair of a number of conferences. </w:t>
      </w:r>
    </w:p>
    <w:p w14:paraId="4FD048D1" w14:textId="468495CE" w:rsidR="00AE3E37" w:rsidRDefault="00A9710C">
      <w:pPr>
        <w:spacing w:before="62"/>
        <w:ind w:left="4217" w:right="4235"/>
        <w:jc w:val="center"/>
        <w:rPr>
          <w:rFonts w:ascii="Arial"/>
          <w:sz w:val="14"/>
        </w:rPr>
      </w:pPr>
      <w:r>
        <w:rPr>
          <w:rFonts w:ascii="Arial"/>
          <w:sz w:val="14"/>
        </w:rPr>
        <w:t xml:space="preserve">Email: </w:t>
      </w:r>
      <w:r w:rsidR="005352A2">
        <w:rPr>
          <w:rFonts w:ascii="Arial"/>
          <w:sz w:val="14"/>
        </w:rPr>
        <w:t>samirjaoua@qu.edu.qa</w:t>
      </w:r>
    </w:p>
    <w:p w14:paraId="04866633" w14:textId="77777777"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55C18C93" wp14:editId="7D3AB88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30B7810" w14:textId="77777777" w:rsidR="00AE3E37" w:rsidRDefault="00AE3E37">
      <w:pPr>
        <w:pStyle w:val="BodyText"/>
        <w:rPr>
          <w:rFonts w:ascii="Arial"/>
          <w:sz w:val="20"/>
        </w:rPr>
      </w:pPr>
    </w:p>
    <w:p w14:paraId="5A09C6DE" w14:textId="77777777" w:rsidR="00AE3E37" w:rsidRDefault="00AE3E37">
      <w:pPr>
        <w:pStyle w:val="BodyText"/>
        <w:rPr>
          <w:rFonts w:ascii="Arial"/>
          <w:sz w:val="20"/>
        </w:rPr>
      </w:pPr>
    </w:p>
    <w:p w14:paraId="441F104F" w14:textId="77777777" w:rsidR="00AE3E37" w:rsidRDefault="00AE3E37">
      <w:pPr>
        <w:pStyle w:val="BodyText"/>
        <w:spacing w:before="7"/>
        <w:rPr>
          <w:rFonts w:ascii="Arial"/>
          <w:sz w:val="29"/>
        </w:rPr>
      </w:pPr>
    </w:p>
    <w:p w14:paraId="76C1827C" w14:textId="77777777" w:rsidR="00AE3E37" w:rsidRPr="00B21A57" w:rsidRDefault="00A9710C">
      <w:pPr>
        <w:spacing w:before="39"/>
        <w:ind w:left="100"/>
        <w:rPr>
          <w:rFonts w:ascii="Minion Pro"/>
          <w:b/>
          <w:sz w:val="20"/>
        </w:rPr>
      </w:pPr>
      <w:r w:rsidRPr="00B21A57">
        <w:rPr>
          <w:rFonts w:ascii="Minion Pro"/>
          <w:b/>
          <w:sz w:val="20"/>
        </w:rPr>
        <w:t>Notes/Comments:</w:t>
      </w:r>
    </w:p>
    <w:p w14:paraId="78B7BC7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BC51C6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4CB2F" w14:textId="77777777" w:rsidR="00721186" w:rsidRDefault="00721186">
      <w:r>
        <w:separator/>
      </w:r>
    </w:p>
  </w:endnote>
  <w:endnote w:type="continuationSeparator" w:id="0">
    <w:p w14:paraId="5B4E2A2D" w14:textId="77777777" w:rsidR="00721186" w:rsidRDefault="00721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1C82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8FAF1C8" wp14:editId="0E1A458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1A78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F5DE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FAF1C8"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7631A78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F5DE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0E8E9B0" wp14:editId="2259C28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154A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C893D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8E9B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413154A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C893D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889AB8" wp14:editId="5BA4715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8DE7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BAF7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89AB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1F38DE7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BAF7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AF2BC" w14:textId="77777777" w:rsidR="00721186" w:rsidRDefault="00721186">
      <w:r>
        <w:separator/>
      </w:r>
    </w:p>
  </w:footnote>
  <w:footnote w:type="continuationSeparator" w:id="0">
    <w:p w14:paraId="3756B5BB" w14:textId="77777777" w:rsidR="00721186" w:rsidRDefault="0072118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250C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87DAE72" wp14:editId="189A20C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CF1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DAE72"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4E9CF1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BE7880B" wp14:editId="2C5AF87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2CF8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6F7F8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7880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7DD2CF8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6F7F8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8E15566"/>
    <w:multiLevelType w:val="hybridMultilevel"/>
    <w:tmpl w:val="E6862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173F"/>
    <w:rsid w:val="001B5579"/>
    <w:rsid w:val="00292ED9"/>
    <w:rsid w:val="0038743E"/>
    <w:rsid w:val="003C42CA"/>
    <w:rsid w:val="00404E5B"/>
    <w:rsid w:val="00414F7B"/>
    <w:rsid w:val="004355DC"/>
    <w:rsid w:val="004749B4"/>
    <w:rsid w:val="004907FF"/>
    <w:rsid w:val="00494130"/>
    <w:rsid w:val="004F3523"/>
    <w:rsid w:val="005057D2"/>
    <w:rsid w:val="005352A2"/>
    <w:rsid w:val="005702F9"/>
    <w:rsid w:val="005973B9"/>
    <w:rsid w:val="005A4B74"/>
    <w:rsid w:val="005B3A56"/>
    <w:rsid w:val="006060CE"/>
    <w:rsid w:val="0063497F"/>
    <w:rsid w:val="00721186"/>
    <w:rsid w:val="00873DF0"/>
    <w:rsid w:val="008756E6"/>
    <w:rsid w:val="00896603"/>
    <w:rsid w:val="009679E1"/>
    <w:rsid w:val="009B2D44"/>
    <w:rsid w:val="00A07E82"/>
    <w:rsid w:val="00A9710C"/>
    <w:rsid w:val="00AB060C"/>
    <w:rsid w:val="00AE3E37"/>
    <w:rsid w:val="00B21A57"/>
    <w:rsid w:val="00BF6415"/>
    <w:rsid w:val="00C33602"/>
    <w:rsid w:val="00CD6F55"/>
    <w:rsid w:val="00DE3104"/>
    <w:rsid w:val="00F4727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043C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1">
    <w:name w:val="p1"/>
    <w:basedOn w:val="Normal"/>
    <w:rsid w:val="001A173F"/>
    <w:pPr>
      <w:widowControl/>
    </w:pPr>
    <w:rPr>
      <w:rFonts w:ascii="Times" w:eastAsiaTheme="minorHAnsi" w:hAnsi="Times" w:cs="Times New Roman"/>
      <w:sz w:val="14"/>
      <w:szCs w:val="14"/>
    </w:rPr>
  </w:style>
  <w:style w:type="character" w:customStyle="1" w:styleId="s1">
    <w:name w:val="s1"/>
    <w:basedOn w:val="DefaultParagraphFont"/>
    <w:rsid w:val="001A173F"/>
    <w:rPr>
      <w:rFonts w:ascii="Helvetica" w:hAnsi="Helvetica" w:hint="default"/>
      <w:sz w:val="14"/>
      <w:szCs w:val="14"/>
    </w:rPr>
  </w:style>
  <w:style w:type="paragraph" w:customStyle="1" w:styleId="p2">
    <w:name w:val="p2"/>
    <w:basedOn w:val="Normal"/>
    <w:rsid w:val="00BF6415"/>
    <w:pPr>
      <w:widowControl/>
    </w:pPr>
    <w:rPr>
      <w:rFonts w:ascii="Arial" w:eastAsiaTheme="minorHAnsi" w:hAnsi="Arial" w:cs="Arial"/>
      <w:sz w:val="21"/>
      <w:szCs w:val="21"/>
    </w:rPr>
  </w:style>
  <w:style w:type="character" w:customStyle="1" w:styleId="apple-converted-space">
    <w:name w:val="apple-converted-space"/>
    <w:basedOn w:val="DefaultParagraphFont"/>
    <w:rsid w:val="00BF6415"/>
  </w:style>
  <w:style w:type="character" w:customStyle="1" w:styleId="s2">
    <w:name w:val="s2"/>
    <w:basedOn w:val="DefaultParagraphFont"/>
    <w:rsid w:val="00BF6415"/>
    <w:rPr>
      <w:rFonts w:ascii="Arial" w:hAnsi="Arial" w:cs="Arial" w:hint="default"/>
      <w:sz w:val="11"/>
      <w:szCs w:val="11"/>
    </w:rPr>
  </w:style>
  <w:style w:type="paragraph" w:styleId="NormalWeb">
    <w:name w:val="Normal (Web)"/>
    <w:basedOn w:val="Normal"/>
    <w:uiPriority w:val="99"/>
    <w:rsid w:val="00896603"/>
    <w:pPr>
      <w:widowControl/>
      <w:spacing w:before="100" w:beforeAutospacing="1" w:after="100" w:afterAutospacing="1"/>
    </w:pPr>
    <w:rPr>
      <w:rFonts w:ascii="Arial Unicode MS" w:eastAsia="Arial Unicode MS" w:hAnsi="Arial Unicode MS" w:cs="Arial Unicode MS"/>
      <w:sz w:val="24"/>
      <w:szCs w:val="24"/>
      <w:lang w:val="fr-FR" w:eastAsia="fr-FR"/>
    </w:rPr>
  </w:style>
  <w:style w:type="character" w:customStyle="1" w:styleId="ListParagraphChar">
    <w:name w:val="List Paragraph Char"/>
    <w:link w:val="ListParagraph"/>
    <w:rsid w:val="00896603"/>
    <w:rPr>
      <w:rFonts w:ascii="Calibri" w:eastAsia="Calibri" w:hAnsi="Calibri" w:cs="Calibri"/>
    </w:rPr>
  </w:style>
  <w:style w:type="paragraph" w:styleId="BlockText">
    <w:name w:val="Block Text"/>
    <w:basedOn w:val="Normal"/>
    <w:link w:val="BlockTextChar"/>
    <w:rsid w:val="005057D2"/>
    <w:pPr>
      <w:widowControl/>
      <w:spacing w:line="360" w:lineRule="auto"/>
      <w:ind w:left="-284" w:right="-374" w:firstLine="142"/>
    </w:pPr>
    <w:rPr>
      <w:rFonts w:ascii="Times New Roman" w:eastAsia="Times New Roman" w:hAnsi="Times New Roman" w:cs="Times New Roman"/>
      <w:sz w:val="28"/>
      <w:szCs w:val="20"/>
      <w:lang w:val="fr-FR" w:eastAsia="fr-FR"/>
    </w:rPr>
  </w:style>
  <w:style w:type="character" w:customStyle="1" w:styleId="BlockTextChar">
    <w:name w:val="Block Text Char"/>
    <w:link w:val="BlockText"/>
    <w:rsid w:val="005057D2"/>
    <w:rPr>
      <w:rFonts w:ascii="Times New Roman" w:eastAsia="Times New Roman" w:hAnsi="Times New Roman"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196968">
      <w:bodyDiv w:val="1"/>
      <w:marLeft w:val="0"/>
      <w:marRight w:val="0"/>
      <w:marTop w:val="0"/>
      <w:marBottom w:val="0"/>
      <w:divBdr>
        <w:top w:val="none" w:sz="0" w:space="0" w:color="auto"/>
        <w:left w:val="none" w:sz="0" w:space="0" w:color="auto"/>
        <w:bottom w:val="none" w:sz="0" w:space="0" w:color="auto"/>
        <w:right w:val="none" w:sz="0" w:space="0" w:color="auto"/>
      </w:divBdr>
    </w:div>
    <w:div w:id="231702160">
      <w:bodyDiv w:val="1"/>
      <w:marLeft w:val="0"/>
      <w:marRight w:val="0"/>
      <w:marTop w:val="0"/>
      <w:marBottom w:val="0"/>
      <w:divBdr>
        <w:top w:val="none" w:sz="0" w:space="0" w:color="auto"/>
        <w:left w:val="none" w:sz="0" w:space="0" w:color="auto"/>
        <w:bottom w:val="none" w:sz="0" w:space="0" w:color="auto"/>
        <w:right w:val="none" w:sz="0" w:space="0" w:color="auto"/>
      </w:divBdr>
    </w:div>
    <w:div w:id="238444986">
      <w:bodyDiv w:val="1"/>
      <w:marLeft w:val="0"/>
      <w:marRight w:val="0"/>
      <w:marTop w:val="0"/>
      <w:marBottom w:val="0"/>
      <w:divBdr>
        <w:top w:val="none" w:sz="0" w:space="0" w:color="auto"/>
        <w:left w:val="none" w:sz="0" w:space="0" w:color="auto"/>
        <w:bottom w:val="none" w:sz="0" w:space="0" w:color="auto"/>
        <w:right w:val="none" w:sz="0" w:space="0" w:color="auto"/>
      </w:divBdr>
    </w:div>
    <w:div w:id="43420681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2547461">
      <w:bodyDiv w:val="1"/>
      <w:marLeft w:val="0"/>
      <w:marRight w:val="0"/>
      <w:marTop w:val="0"/>
      <w:marBottom w:val="0"/>
      <w:divBdr>
        <w:top w:val="none" w:sz="0" w:space="0" w:color="auto"/>
        <w:left w:val="none" w:sz="0" w:space="0" w:color="auto"/>
        <w:bottom w:val="none" w:sz="0" w:space="0" w:color="auto"/>
        <w:right w:val="none" w:sz="0" w:space="0" w:color="auto"/>
      </w:divBdr>
    </w:div>
    <w:div w:id="577982939">
      <w:bodyDiv w:val="1"/>
      <w:marLeft w:val="0"/>
      <w:marRight w:val="0"/>
      <w:marTop w:val="0"/>
      <w:marBottom w:val="0"/>
      <w:divBdr>
        <w:top w:val="none" w:sz="0" w:space="0" w:color="auto"/>
        <w:left w:val="none" w:sz="0" w:space="0" w:color="auto"/>
        <w:bottom w:val="none" w:sz="0" w:space="0" w:color="auto"/>
        <w:right w:val="none" w:sz="0" w:space="0" w:color="auto"/>
      </w:divBdr>
    </w:div>
    <w:div w:id="646858025">
      <w:bodyDiv w:val="1"/>
      <w:marLeft w:val="0"/>
      <w:marRight w:val="0"/>
      <w:marTop w:val="0"/>
      <w:marBottom w:val="0"/>
      <w:divBdr>
        <w:top w:val="none" w:sz="0" w:space="0" w:color="auto"/>
        <w:left w:val="none" w:sz="0" w:space="0" w:color="auto"/>
        <w:bottom w:val="none" w:sz="0" w:space="0" w:color="auto"/>
        <w:right w:val="none" w:sz="0" w:space="0" w:color="auto"/>
      </w:divBdr>
    </w:div>
    <w:div w:id="725253960">
      <w:bodyDiv w:val="1"/>
      <w:marLeft w:val="0"/>
      <w:marRight w:val="0"/>
      <w:marTop w:val="0"/>
      <w:marBottom w:val="0"/>
      <w:divBdr>
        <w:top w:val="none" w:sz="0" w:space="0" w:color="auto"/>
        <w:left w:val="none" w:sz="0" w:space="0" w:color="auto"/>
        <w:bottom w:val="none" w:sz="0" w:space="0" w:color="auto"/>
        <w:right w:val="none" w:sz="0" w:space="0" w:color="auto"/>
      </w:divBdr>
    </w:div>
    <w:div w:id="145840359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84628023">
      <w:bodyDiv w:val="1"/>
      <w:marLeft w:val="0"/>
      <w:marRight w:val="0"/>
      <w:marTop w:val="0"/>
      <w:marBottom w:val="0"/>
      <w:divBdr>
        <w:top w:val="none" w:sz="0" w:space="0" w:color="auto"/>
        <w:left w:val="none" w:sz="0" w:space="0" w:color="auto"/>
        <w:bottom w:val="none" w:sz="0" w:space="0" w:color="auto"/>
        <w:right w:val="none" w:sz="0" w:space="0" w:color="auto"/>
      </w:divBdr>
    </w:div>
    <w:div w:id="176476720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616</Words>
  <Characters>3512</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6</cp:revision>
  <dcterms:created xsi:type="dcterms:W3CDTF">2017-11-23T11:54:00Z</dcterms:created>
  <dcterms:modified xsi:type="dcterms:W3CDTF">2017-11-23T13:26:00Z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