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31C42" w:rsidP="00494130">
      <w:pPr>
        <w:pStyle w:val="1"/>
        <w:spacing w:before="170"/>
        <w:ind w:left="0"/>
      </w:pPr>
      <w:r>
        <w:rPr>
          <w:color w:val="337AB7"/>
        </w:rPr>
        <w:t>C</w:t>
      </w:r>
      <w:r w:rsidR="00093F7F" w:rsidRPr="00093F7F">
        <w:rPr>
          <w:color w:val="337AB7"/>
        </w:rPr>
        <w:t>onsumption</w:t>
      </w:r>
      <w:r>
        <w:rPr>
          <w:color w:val="337AB7"/>
        </w:rPr>
        <w:t xml:space="preserve"> of </w:t>
      </w:r>
      <w:proofErr w:type="spellStart"/>
      <w:r w:rsidRPr="00C31C42">
        <w:rPr>
          <w:color w:val="337AB7"/>
        </w:rPr>
        <w:t>antibacterials</w:t>
      </w:r>
      <w:proofErr w:type="spellEnd"/>
      <w:r w:rsidRPr="00C31C42">
        <w:rPr>
          <w:color w:val="337AB7"/>
        </w:rPr>
        <w:t xml:space="preserve"> for systemic use (ATC group J01)</w:t>
      </w:r>
      <w:r w:rsidR="00093F7F" w:rsidRPr="00093F7F">
        <w:rPr>
          <w:color w:val="337AB7"/>
        </w:rPr>
        <w:t xml:space="preserve"> in Ukraine in 2013-2018 compared to the United Kingdom</w:t>
      </w:r>
    </w:p>
    <w:p w:rsidR="005973B9" w:rsidRDefault="00093F7F" w:rsidP="00093F7F">
      <w:pPr>
        <w:pStyle w:val="a3"/>
        <w:spacing w:before="73" w:line="198" w:lineRule="exact"/>
        <w:ind w:left="100" w:right="4027"/>
        <w:rPr>
          <w:rFonts w:ascii="Arial"/>
        </w:rPr>
      </w:pPr>
      <w:proofErr w:type="spellStart"/>
      <w:r>
        <w:rPr>
          <w:rFonts w:ascii="Arial"/>
        </w:rPr>
        <w:t>Larysa</w:t>
      </w:r>
      <w:proofErr w:type="spellEnd"/>
      <w:r>
        <w:rPr>
          <w:rFonts w:ascii="Arial"/>
        </w:rPr>
        <w:t xml:space="preserve"> V </w:t>
      </w:r>
      <w:proofErr w:type="spellStart"/>
      <w:r>
        <w:rPr>
          <w:rFonts w:ascii="Arial"/>
        </w:rPr>
        <w:t>Iakovlieva</w:t>
      </w:r>
      <w:proofErr w:type="spellEnd"/>
      <w:r w:rsidR="005973B9">
        <w:rPr>
          <w:rFonts w:ascii="Arial"/>
        </w:rPr>
        <w:t>,</w:t>
      </w:r>
      <w:r>
        <w:rPr>
          <w:rFonts w:ascii="Arial"/>
        </w:rPr>
        <w:t xml:space="preserve"> </w:t>
      </w:r>
      <w:proofErr w:type="spellStart"/>
      <w:r>
        <w:rPr>
          <w:rFonts w:ascii="Arial"/>
        </w:rPr>
        <w:t>Pharm</w:t>
      </w:r>
      <w:r w:rsidR="005973B9">
        <w:rPr>
          <w:rFonts w:ascii="Arial"/>
        </w:rPr>
        <w:t>D</w:t>
      </w:r>
      <w:proofErr w:type="spellEnd"/>
      <w:r w:rsidR="005973B9">
        <w:rPr>
          <w:rFonts w:ascii="Arial"/>
        </w:rPr>
        <w:t xml:space="preserve">, </w:t>
      </w:r>
      <w:r>
        <w:rPr>
          <w:rFonts w:ascii="Arial"/>
        </w:rPr>
        <w:t xml:space="preserve">National university of Pharmacy, </w:t>
      </w:r>
      <w:proofErr w:type="spellStart"/>
      <w:r>
        <w:rPr>
          <w:rFonts w:ascii="Arial"/>
        </w:rPr>
        <w:t>Kharkiv</w:t>
      </w:r>
      <w:proofErr w:type="spellEnd"/>
      <w:r>
        <w:rPr>
          <w:rFonts w:ascii="Arial"/>
        </w:rPr>
        <w:t>, Ukraine</w:t>
      </w:r>
      <w:r w:rsidR="005973B9">
        <w:rPr>
          <w:rFonts w:ascii="Arial"/>
        </w:rPr>
        <w:t xml:space="preserve"> </w:t>
      </w:r>
      <w:proofErr w:type="spellStart"/>
      <w:r>
        <w:rPr>
          <w:rFonts w:ascii="Arial"/>
        </w:rPr>
        <w:t>Tetiana</w:t>
      </w:r>
      <w:proofErr w:type="spellEnd"/>
      <w:r w:rsidR="005973B9">
        <w:rPr>
          <w:rFonts w:ascii="Arial"/>
        </w:rPr>
        <w:t xml:space="preserve"> </w:t>
      </w:r>
      <w:r>
        <w:rPr>
          <w:rFonts w:ascii="Arial"/>
        </w:rPr>
        <w:t>O</w:t>
      </w:r>
      <w:r w:rsidR="005973B9">
        <w:rPr>
          <w:rFonts w:ascii="Arial"/>
        </w:rPr>
        <w:t xml:space="preserve"> </w:t>
      </w:r>
      <w:proofErr w:type="spellStart"/>
      <w:r>
        <w:rPr>
          <w:rFonts w:ascii="Arial"/>
        </w:rPr>
        <w:t>Bahlai</w:t>
      </w:r>
      <w:proofErr w:type="spellEnd"/>
      <w:r>
        <w:rPr>
          <w:rFonts w:ascii="Arial"/>
        </w:rPr>
        <w:t xml:space="preserve">, National university of Pharmacy, </w:t>
      </w:r>
      <w:proofErr w:type="spellStart"/>
      <w:r>
        <w:rPr>
          <w:rFonts w:ascii="Arial"/>
        </w:rPr>
        <w:t>Kharkiv</w:t>
      </w:r>
      <w:proofErr w:type="spellEnd"/>
      <w:r>
        <w:rPr>
          <w:rFonts w:ascii="Arial"/>
        </w:rPr>
        <w:t>, Ukraine</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BC2A2F">
        <w:rPr>
          <w:color w:val="BF5A14"/>
        </w:rPr>
        <w:t xml:space="preserve"> </w:t>
      </w:r>
    </w:p>
    <w:p w:rsidR="00833C22" w:rsidRDefault="00A9710C">
      <w:pPr>
        <w:pStyle w:val="a3"/>
        <w:spacing w:before="90" w:line="280" w:lineRule="auto"/>
        <w:ind w:left="100"/>
        <w:jc w:val="both"/>
      </w:pPr>
      <w:r w:rsidRPr="00CE384A">
        <w:rPr>
          <w:b/>
        </w:rPr>
        <w:t>Statement of the Problem</w:t>
      </w:r>
      <w:r>
        <w:t xml:space="preserve">: </w:t>
      </w:r>
      <w:r w:rsidR="00BC2A2F">
        <w:t>Researchers have reported that a</w:t>
      </w:r>
      <w:r w:rsidR="00BC2A2F" w:rsidRPr="00BC2A2F">
        <w:t>ntibiotic resistance</w:t>
      </w:r>
      <w:r w:rsidR="00CE384A">
        <w:t xml:space="preserve"> (ABR)</w:t>
      </w:r>
      <w:r w:rsidR="00BC2A2F" w:rsidRPr="00BC2A2F">
        <w:t xml:space="preserve"> is one of the biggest threats to global health, food security, and sustainable development today</w:t>
      </w:r>
      <w:r w:rsidR="00BC2A2F">
        <w:t xml:space="preserve">. </w:t>
      </w:r>
      <w:r w:rsidR="00833C22" w:rsidRPr="00833C22">
        <w:t xml:space="preserve">An analysis of the relationship between the levels of antimicrobial drug consumption and the development of antibiotic resistance is one of the tools to contain the resistance. </w:t>
      </w:r>
    </w:p>
    <w:p w:rsidR="00833C22" w:rsidRDefault="00833C22">
      <w:pPr>
        <w:pStyle w:val="a3"/>
        <w:spacing w:before="90" w:line="280" w:lineRule="auto"/>
        <w:ind w:left="100"/>
        <w:jc w:val="both"/>
      </w:pPr>
      <w:r w:rsidRPr="00CE384A">
        <w:rPr>
          <w:b/>
        </w:rPr>
        <w:t>The purpose</w:t>
      </w:r>
      <w:r w:rsidRPr="00833C22">
        <w:t xml:space="preserve"> of this study is to analyze the consumption </w:t>
      </w:r>
      <w:r w:rsidR="00CE384A" w:rsidRPr="00CE384A">
        <w:t>in the community</w:t>
      </w:r>
      <w:r w:rsidR="00CE384A">
        <w:t xml:space="preserve"> </w:t>
      </w:r>
      <w:r w:rsidRPr="00833C22">
        <w:t xml:space="preserve">of </w:t>
      </w:r>
      <w:proofErr w:type="spellStart"/>
      <w:r w:rsidR="00CE384A" w:rsidRPr="00CE384A">
        <w:t>antibacterials</w:t>
      </w:r>
      <w:proofErr w:type="spellEnd"/>
      <w:r w:rsidR="00CE384A" w:rsidRPr="00CE384A">
        <w:t xml:space="preserve"> for systemic use</w:t>
      </w:r>
      <w:r w:rsidR="00CE384A">
        <w:t xml:space="preserve"> (AB)</w:t>
      </w:r>
      <w:r w:rsidR="00CE384A" w:rsidRPr="00CE384A">
        <w:t xml:space="preserve"> (ATC group J01) </w:t>
      </w:r>
      <w:r w:rsidRPr="00833C22">
        <w:t>in Ukraine</w:t>
      </w:r>
      <w:r w:rsidR="00CE384A">
        <w:t xml:space="preserve"> (UA)</w:t>
      </w:r>
      <w:r w:rsidRPr="00833C22">
        <w:t xml:space="preserve"> in comparison with </w:t>
      </w:r>
      <w:r w:rsidR="00CE384A">
        <w:t xml:space="preserve">the </w:t>
      </w:r>
      <w:r w:rsidRPr="00833C22">
        <w:t>United Kingdom</w:t>
      </w:r>
      <w:r w:rsidR="00CE384A">
        <w:t xml:space="preserve"> (UK)</w:t>
      </w:r>
      <w:r w:rsidRPr="00833C22">
        <w:t>.</w:t>
      </w:r>
    </w:p>
    <w:p w:rsidR="000A5808" w:rsidRDefault="00A9710C">
      <w:pPr>
        <w:pStyle w:val="a3"/>
        <w:spacing w:before="90" w:line="280" w:lineRule="auto"/>
        <w:ind w:left="100"/>
        <w:jc w:val="both"/>
      </w:pPr>
      <w:proofErr w:type="gramStart"/>
      <w:r w:rsidRPr="00CE384A">
        <w:rPr>
          <w:b/>
        </w:rPr>
        <w:t>Methodolog</w:t>
      </w:r>
      <w:r w:rsidR="007654D1" w:rsidRPr="00CE384A">
        <w:rPr>
          <w:b/>
        </w:rPr>
        <w:t>y &amp; Theoretical Orientation</w:t>
      </w:r>
      <w:r w:rsidR="007654D1">
        <w:t>.</w:t>
      </w:r>
      <w:proofErr w:type="gramEnd"/>
      <w:r w:rsidR="008756E6">
        <w:t xml:space="preserve"> </w:t>
      </w:r>
      <w:r w:rsidR="000A5808" w:rsidRPr="000A5808">
        <w:t>The DDDs per 1000 inhabitants per day (DID) were used to calculate the consumption of antibacterial agents using the ATC / DDD methodology recommended by the WHO.</w:t>
      </w:r>
      <w:r w:rsidR="0002788F">
        <w:t xml:space="preserve"> </w:t>
      </w:r>
      <w:r w:rsidR="0002788F" w:rsidRPr="0002788F">
        <w:t>The calculations were carried out according to the analytical system of the pharmaceutical market research “</w:t>
      </w:r>
      <w:proofErr w:type="spellStart"/>
      <w:r w:rsidR="0002788F" w:rsidRPr="0002788F">
        <w:t>Pharmstandard</w:t>
      </w:r>
      <w:proofErr w:type="spellEnd"/>
      <w:r w:rsidR="0002788F" w:rsidRPr="0002788F">
        <w:t>” of “</w:t>
      </w:r>
      <w:proofErr w:type="spellStart"/>
      <w:r w:rsidR="0002788F" w:rsidRPr="0002788F">
        <w:t>Morion</w:t>
      </w:r>
      <w:proofErr w:type="spellEnd"/>
      <w:r w:rsidR="0002788F" w:rsidRPr="0002788F">
        <w:t>” company</w:t>
      </w:r>
      <w:r w:rsidR="0002788F">
        <w:t xml:space="preserve">. </w:t>
      </w:r>
      <w:r w:rsidR="0002788F" w:rsidRPr="0002788F">
        <w:t>Consumption data for the UK were obtained from the Annual epidemiological report for 2018</w:t>
      </w:r>
      <w:r w:rsidR="0002788F">
        <w:t xml:space="preserve"> (</w:t>
      </w:r>
      <w:r w:rsidR="0002788F" w:rsidRPr="00C31C42">
        <w:t>European Centre for Disease Prevention and Control</w:t>
      </w:r>
      <w:r w:rsidR="0002788F">
        <w:t>).</w:t>
      </w:r>
    </w:p>
    <w:p w:rsidR="0004216B" w:rsidRDefault="00A9710C">
      <w:pPr>
        <w:pStyle w:val="a3"/>
        <w:spacing w:before="90" w:line="280" w:lineRule="auto"/>
        <w:ind w:left="100"/>
        <w:jc w:val="both"/>
      </w:pPr>
      <w:r w:rsidRPr="00CE384A">
        <w:rPr>
          <w:b/>
        </w:rPr>
        <w:t>Findings</w:t>
      </w:r>
      <w:r>
        <w:t xml:space="preserve">: </w:t>
      </w:r>
      <w:r w:rsidR="00CE384A" w:rsidRPr="00CE384A">
        <w:t xml:space="preserve">Over the last 6 years, </w:t>
      </w:r>
      <w:r w:rsidR="0004216B">
        <w:t>AB</w:t>
      </w:r>
      <w:r w:rsidR="00CE384A" w:rsidRPr="00CE384A">
        <w:t xml:space="preserve"> consumption in the UK has </w:t>
      </w:r>
      <w:r w:rsidR="0004216B" w:rsidRPr="0004216B">
        <w:t>decreased</w:t>
      </w:r>
      <w:r w:rsidR="0004216B">
        <w:t xml:space="preserve"> from </w:t>
      </w:r>
      <w:r w:rsidR="0004216B" w:rsidRPr="0004216B">
        <w:t>18.3</w:t>
      </w:r>
      <w:r w:rsidR="0004216B">
        <w:t xml:space="preserve"> DID in 2013 to </w:t>
      </w:r>
      <w:r w:rsidR="0004216B" w:rsidRPr="0004216B">
        <w:t>16.3</w:t>
      </w:r>
      <w:r w:rsidR="0004216B">
        <w:t xml:space="preserve"> DID in 2018</w:t>
      </w:r>
      <w:r w:rsidR="00CE384A" w:rsidRPr="00CE384A">
        <w:t>, despite a slight increase in 2014</w:t>
      </w:r>
      <w:r w:rsidR="0004216B">
        <w:t xml:space="preserve"> (</w:t>
      </w:r>
      <w:r w:rsidR="0004216B" w:rsidRPr="0004216B">
        <w:t>18.5</w:t>
      </w:r>
      <w:r w:rsidR="0004216B">
        <w:t xml:space="preserve"> DID)</w:t>
      </w:r>
      <w:r w:rsidR="00CE384A">
        <w:t xml:space="preserve">. </w:t>
      </w:r>
      <w:r w:rsidR="0004216B" w:rsidRPr="0004216B">
        <w:t>Consumption indicators in U</w:t>
      </w:r>
      <w:r w:rsidR="000D49A4">
        <w:t>A</w:t>
      </w:r>
      <w:r w:rsidR="0004216B" w:rsidRPr="0004216B">
        <w:t xml:space="preserve"> decreased </w:t>
      </w:r>
      <w:r w:rsidR="0004216B">
        <w:t xml:space="preserve">from </w:t>
      </w:r>
      <w:r w:rsidR="000D49A4" w:rsidRPr="000D49A4">
        <w:t>11.6</w:t>
      </w:r>
      <w:r w:rsidR="000D49A4">
        <w:t xml:space="preserve"> DID </w:t>
      </w:r>
      <w:r w:rsidR="0004216B" w:rsidRPr="0004216B">
        <w:t xml:space="preserve">in 2013 to </w:t>
      </w:r>
      <w:r w:rsidR="000D49A4" w:rsidRPr="000D49A4">
        <w:t>10.1</w:t>
      </w:r>
      <w:r w:rsidR="000D49A4">
        <w:t xml:space="preserve"> </w:t>
      </w:r>
      <w:proofErr w:type="gramStart"/>
      <w:r w:rsidR="000D49A4">
        <w:t>DID</w:t>
      </w:r>
      <w:proofErr w:type="gramEnd"/>
      <w:r w:rsidR="000D49A4">
        <w:t xml:space="preserve"> in</w:t>
      </w:r>
      <w:r w:rsidR="000D49A4" w:rsidRPr="0004216B">
        <w:t xml:space="preserve"> </w:t>
      </w:r>
      <w:r w:rsidR="0004216B" w:rsidRPr="0004216B">
        <w:t xml:space="preserve">2015 and increased </w:t>
      </w:r>
      <w:r w:rsidR="000D49A4">
        <w:t xml:space="preserve">from </w:t>
      </w:r>
      <w:r w:rsidR="000D49A4" w:rsidRPr="000D49A4">
        <w:t>11.</w:t>
      </w:r>
      <w:r w:rsidR="000D49A4">
        <w:t xml:space="preserve">1 DID </w:t>
      </w:r>
      <w:r w:rsidR="000D49A4" w:rsidRPr="0004216B">
        <w:t xml:space="preserve">in </w:t>
      </w:r>
      <w:r w:rsidR="000D49A4">
        <w:t xml:space="preserve">2016 </w:t>
      </w:r>
      <w:r w:rsidR="000D49A4" w:rsidRPr="0004216B">
        <w:t xml:space="preserve">to </w:t>
      </w:r>
      <w:r w:rsidR="000D49A4" w:rsidRPr="000D49A4">
        <w:t>12.5</w:t>
      </w:r>
      <w:r w:rsidR="000D49A4">
        <w:t xml:space="preserve"> DID in</w:t>
      </w:r>
      <w:r w:rsidR="000D49A4" w:rsidRPr="0004216B">
        <w:t xml:space="preserve"> </w:t>
      </w:r>
      <w:r w:rsidR="0004216B" w:rsidRPr="0004216B">
        <w:t>2018</w:t>
      </w:r>
      <w:r w:rsidR="000D49A4">
        <w:t xml:space="preserve">. </w:t>
      </w:r>
      <w:r w:rsidR="000D49A4" w:rsidRPr="000D49A4">
        <w:t xml:space="preserve">The largest difference in </w:t>
      </w:r>
      <w:r w:rsidR="0002788F">
        <w:t>AB</w:t>
      </w:r>
      <w:r w:rsidR="000D49A4" w:rsidRPr="000D49A4">
        <w:t xml:space="preserve"> consumption between the two countries was recorded in 2015 (1.8 times).</w:t>
      </w:r>
      <w:r w:rsidR="0002788F">
        <w:t xml:space="preserve"> </w:t>
      </w:r>
      <w:r w:rsidR="0002788F" w:rsidRPr="0002788F">
        <w:t>In 2018, this difference was 1.3 times</w:t>
      </w:r>
      <w:r w:rsidR="0002788F">
        <w:t>.</w:t>
      </w:r>
    </w:p>
    <w:p w:rsidR="00AE3E37" w:rsidRPr="000323FA" w:rsidRDefault="00A9710C">
      <w:pPr>
        <w:pStyle w:val="a3"/>
        <w:spacing w:before="90" w:line="280" w:lineRule="auto"/>
        <w:ind w:left="100"/>
        <w:jc w:val="both"/>
        <w:rPr>
          <w:rFonts w:asciiTheme="minorHAnsi" w:hAnsiTheme="minorHAnsi"/>
          <w:lang w:val="uk-UA"/>
        </w:rPr>
      </w:pPr>
      <w:r w:rsidRPr="00CA624F">
        <w:rPr>
          <w:b/>
        </w:rPr>
        <w:t>Conclusion &amp; Significance</w:t>
      </w:r>
      <w:r>
        <w:t xml:space="preserve">: </w:t>
      </w:r>
      <w:r w:rsidR="00CA624F" w:rsidRPr="00CA624F">
        <w:t>The ability to buy antibiotics without prescription in Ukraine does not play a significant role at the level of consumption. This may indicate that low levels of financial support in Ukraine are forcing the population not to use antibiotics for treatment.</w:t>
      </w:r>
      <w:r w:rsidR="000323FA">
        <w:rPr>
          <w:rFonts w:asciiTheme="minorHAnsi" w:hAnsiTheme="minorHAnsi"/>
          <w:lang w:val="uk-UA"/>
        </w:rPr>
        <w:t xml:space="preserve"> </w:t>
      </w:r>
      <w:proofErr w:type="spellStart"/>
      <w:r w:rsidR="000323FA" w:rsidRPr="000323FA">
        <w:rPr>
          <w:rFonts w:asciiTheme="minorHAnsi" w:hAnsiTheme="minorHAnsi"/>
          <w:lang w:val="uk-UA"/>
        </w:rPr>
        <w:t>Also</w:t>
      </w:r>
      <w:proofErr w:type="spellEnd"/>
      <w:r w:rsidR="000323FA" w:rsidRPr="000323FA">
        <w:rPr>
          <w:rFonts w:asciiTheme="minorHAnsi" w:hAnsiTheme="minorHAnsi"/>
          <w:lang w:val="uk-UA"/>
        </w:rPr>
        <w:t xml:space="preserve"> a </w:t>
      </w:r>
      <w:proofErr w:type="spellStart"/>
      <w:r w:rsidR="000323FA" w:rsidRPr="000323FA">
        <w:rPr>
          <w:rFonts w:asciiTheme="minorHAnsi" w:hAnsiTheme="minorHAnsi"/>
          <w:lang w:val="uk-UA"/>
        </w:rPr>
        <w:t>high</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fear</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of</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the</w:t>
      </w:r>
      <w:proofErr w:type="spellEnd"/>
      <w:r w:rsidR="000323FA" w:rsidRPr="000323FA">
        <w:rPr>
          <w:rFonts w:asciiTheme="minorHAnsi" w:hAnsiTheme="minorHAnsi"/>
          <w:lang w:val="uk-UA"/>
        </w:rPr>
        <w:t xml:space="preserve"> </w:t>
      </w:r>
      <w:r w:rsidR="000323FA">
        <w:rPr>
          <w:rFonts w:asciiTheme="minorHAnsi" w:hAnsiTheme="minorHAnsi"/>
        </w:rPr>
        <w:t xml:space="preserve">side </w:t>
      </w:r>
      <w:proofErr w:type="spellStart"/>
      <w:r w:rsidR="000323FA" w:rsidRPr="000323FA">
        <w:rPr>
          <w:rFonts w:asciiTheme="minorHAnsi" w:hAnsiTheme="minorHAnsi"/>
          <w:lang w:val="uk-UA"/>
        </w:rPr>
        <w:t>effects</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of</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antimicrobials</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contributes</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to</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their</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low</w:t>
      </w:r>
      <w:proofErr w:type="spellEnd"/>
      <w:r w:rsidR="000323FA" w:rsidRPr="000323FA">
        <w:rPr>
          <w:rFonts w:asciiTheme="minorHAnsi" w:hAnsiTheme="minorHAnsi"/>
          <w:lang w:val="uk-UA"/>
        </w:rPr>
        <w:t xml:space="preserve"> </w:t>
      </w:r>
      <w:proofErr w:type="spellStart"/>
      <w:r w:rsidR="000323FA" w:rsidRPr="000323FA">
        <w:rPr>
          <w:rFonts w:asciiTheme="minorHAnsi" w:hAnsiTheme="minorHAnsi"/>
          <w:lang w:val="uk-UA"/>
        </w:rPr>
        <w:t>use</w:t>
      </w:r>
      <w:proofErr w:type="spellEnd"/>
      <w:r w:rsidR="000323FA" w:rsidRPr="000323FA">
        <w:rPr>
          <w:rFonts w:asciiTheme="minorHAnsi" w:hAnsiTheme="minorHAnsi"/>
          <w:lang w:val="uk-UA"/>
        </w:rPr>
        <w:t>.</w:t>
      </w:r>
    </w:p>
    <w:p w:rsidR="00AE3E37" w:rsidRDefault="00A9710C">
      <w:pPr>
        <w:pStyle w:val="3"/>
        <w:spacing w:before="74"/>
      </w:pPr>
      <w:r>
        <w:rPr>
          <w:b w:val="0"/>
        </w:rPr>
        <w:br w:type="column"/>
      </w:r>
      <w:r>
        <w:rPr>
          <w:color w:val="BF5A14"/>
        </w:rPr>
        <w:lastRenderedPageBreak/>
        <w:t>Image</w:t>
      </w:r>
      <w:r w:rsidR="00C31C42">
        <w:rPr>
          <w:b w:val="0"/>
          <w:noProof/>
          <w:sz w:val="16"/>
          <w:lang w:val="uk-UA" w:eastAsia="uk-UA"/>
        </w:rPr>
        <w:drawing>
          <wp:inline distT="0" distB="0" distL="0" distR="0" wp14:anchorId="1BE95FDB" wp14:editId="630F1F43">
            <wp:extent cx="3165475" cy="1846580"/>
            <wp:effectExtent l="0" t="0" r="15875" b="203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5973B9" w:rsidP="0002788F">
      <w:pPr>
        <w:pStyle w:val="a5"/>
        <w:numPr>
          <w:ilvl w:val="0"/>
          <w:numId w:val="3"/>
        </w:numPr>
        <w:tabs>
          <w:tab w:val="left" w:pos="384"/>
        </w:tabs>
        <w:spacing w:before="0" w:line="216" w:lineRule="exact"/>
        <w:ind w:right="138"/>
        <w:rPr>
          <w:sz w:val="18"/>
        </w:rPr>
      </w:pPr>
      <w:r w:rsidRPr="005973B9">
        <w:rPr>
          <w:sz w:val="18"/>
        </w:rPr>
        <w:t>-</w:t>
      </w:r>
      <w:r w:rsidR="00C31C42" w:rsidRPr="00C31C42">
        <w:rPr>
          <w:sz w:val="18"/>
        </w:rPr>
        <w:t>European Centre for Disease Prevention and Control. Antimicrobial consumption in the EU/EEA, annual epidemiological report for 2018. Stockholm: ECDC; 2019.</w:t>
      </w:r>
    </w:p>
    <w:p w:rsidR="005973B9" w:rsidRDefault="007654D1" w:rsidP="0002788F">
      <w:pPr>
        <w:pStyle w:val="a5"/>
        <w:numPr>
          <w:ilvl w:val="0"/>
          <w:numId w:val="3"/>
        </w:numPr>
        <w:tabs>
          <w:tab w:val="left" w:pos="384"/>
        </w:tabs>
        <w:spacing w:before="0" w:line="216" w:lineRule="exact"/>
        <w:ind w:right="137"/>
        <w:rPr>
          <w:sz w:val="18"/>
        </w:rPr>
      </w:pPr>
      <w:r w:rsidRPr="007654D1">
        <w:rPr>
          <w:sz w:val="18"/>
        </w:rPr>
        <w:t>United Nations. Political Declaration of the High-level Meeting of the General Assembly on Antimicrobial Resistance, A/71/L.2. 22 September 2016</w:t>
      </w:r>
      <w:r w:rsidR="00287181">
        <w:rPr>
          <w:sz w:val="18"/>
        </w:rPr>
        <w:t>.</w:t>
      </w:r>
    </w:p>
    <w:p w:rsidR="005973B9" w:rsidRDefault="00287181" w:rsidP="0002788F">
      <w:pPr>
        <w:pStyle w:val="a5"/>
        <w:numPr>
          <w:ilvl w:val="0"/>
          <w:numId w:val="3"/>
        </w:numPr>
        <w:tabs>
          <w:tab w:val="left" w:pos="384"/>
        </w:tabs>
        <w:spacing w:before="0" w:line="216" w:lineRule="exact"/>
        <w:ind w:right="138"/>
        <w:rPr>
          <w:sz w:val="18"/>
        </w:rPr>
      </w:pPr>
      <w:r w:rsidRPr="00287181">
        <w:rPr>
          <w:sz w:val="18"/>
        </w:rPr>
        <w:t>Interagency Coordination Gr</w:t>
      </w:r>
      <w:r>
        <w:rPr>
          <w:sz w:val="18"/>
        </w:rPr>
        <w:t>oup on Antimicrobial Resistance</w:t>
      </w:r>
      <w:r w:rsidRPr="00287181">
        <w:rPr>
          <w:sz w:val="18"/>
        </w:rPr>
        <w:t xml:space="preserve">. Report to the secretary-general of the </w:t>
      </w:r>
      <w:proofErr w:type="gramStart"/>
      <w:r w:rsidRPr="00287181">
        <w:rPr>
          <w:sz w:val="18"/>
        </w:rPr>
        <w:t>united nations</w:t>
      </w:r>
      <w:proofErr w:type="gramEnd"/>
      <w:r w:rsidRPr="00287181">
        <w:rPr>
          <w:sz w:val="18"/>
        </w:rPr>
        <w:t>. April 2019</w:t>
      </w:r>
      <w:r>
        <w:rPr>
          <w:sz w:val="18"/>
        </w:rPr>
        <w:t>.</w:t>
      </w:r>
    </w:p>
    <w:p w:rsidR="00C31C42" w:rsidRPr="00C31C42" w:rsidRDefault="002D70A9" w:rsidP="0002788F">
      <w:pPr>
        <w:pStyle w:val="a5"/>
        <w:numPr>
          <w:ilvl w:val="0"/>
          <w:numId w:val="3"/>
        </w:numPr>
        <w:tabs>
          <w:tab w:val="left" w:pos="384"/>
        </w:tabs>
        <w:spacing w:before="0" w:line="218" w:lineRule="exact"/>
      </w:pPr>
      <w:proofErr w:type="spellStart"/>
      <w:r w:rsidRPr="002D70A9">
        <w:rPr>
          <w:sz w:val="18"/>
        </w:rPr>
        <w:t>Laxminarayan</w:t>
      </w:r>
      <w:proofErr w:type="spellEnd"/>
      <w:r w:rsidRPr="002D70A9">
        <w:rPr>
          <w:sz w:val="18"/>
        </w:rPr>
        <w:t xml:space="preserve"> R. et al. Access to effective antimicrobials: A worldwide challenge. Lancet. 2016; 387:168-75</w:t>
      </w:r>
      <w:r w:rsidR="005973B9">
        <w:rPr>
          <w:sz w:val="18"/>
        </w:rPr>
        <w:t xml:space="preserve"> </w:t>
      </w:r>
    </w:p>
    <w:p w:rsidR="005973B9" w:rsidRPr="00C31C42" w:rsidRDefault="00C31C42" w:rsidP="0002788F">
      <w:pPr>
        <w:pStyle w:val="a5"/>
        <w:numPr>
          <w:ilvl w:val="0"/>
          <w:numId w:val="3"/>
        </w:numPr>
        <w:tabs>
          <w:tab w:val="left" w:pos="384"/>
        </w:tabs>
        <w:spacing w:before="0" w:line="218" w:lineRule="exact"/>
        <w:ind w:hanging="283"/>
        <w:rPr>
          <w:sz w:val="18"/>
          <w:szCs w:val="18"/>
        </w:rPr>
      </w:pPr>
      <w:proofErr w:type="spellStart"/>
      <w:r w:rsidRPr="00C31C42">
        <w:rPr>
          <w:sz w:val="18"/>
          <w:szCs w:val="18"/>
        </w:rPr>
        <w:t>Iakovlieva</w:t>
      </w:r>
      <w:proofErr w:type="spellEnd"/>
      <w:r w:rsidRPr="00C31C42">
        <w:rPr>
          <w:sz w:val="18"/>
          <w:szCs w:val="18"/>
        </w:rPr>
        <w:t xml:space="preserve"> L., </w:t>
      </w:r>
      <w:proofErr w:type="spellStart"/>
      <w:r w:rsidRPr="00C31C42">
        <w:rPr>
          <w:sz w:val="18"/>
          <w:szCs w:val="18"/>
        </w:rPr>
        <w:t>Bahlai</w:t>
      </w:r>
      <w:proofErr w:type="spellEnd"/>
      <w:r w:rsidRPr="00C31C42">
        <w:rPr>
          <w:sz w:val="18"/>
          <w:szCs w:val="18"/>
        </w:rPr>
        <w:t xml:space="preserve"> T. (2019). </w:t>
      </w:r>
      <w:proofErr w:type="gramStart"/>
      <w:r w:rsidRPr="00C31C42">
        <w:rPr>
          <w:sz w:val="18"/>
          <w:szCs w:val="18"/>
        </w:rPr>
        <w:t>β-lactam</w:t>
      </w:r>
      <w:proofErr w:type="gramEnd"/>
      <w:r w:rsidRPr="00C31C42">
        <w:rPr>
          <w:sz w:val="18"/>
          <w:szCs w:val="18"/>
        </w:rPr>
        <w:t xml:space="preserve"> antibiotics in Ukraine: market and consumption analysis in 2013–2018. </w:t>
      </w:r>
      <w:proofErr w:type="spellStart"/>
      <w:r w:rsidRPr="00C31C42">
        <w:rPr>
          <w:sz w:val="18"/>
          <w:szCs w:val="18"/>
        </w:rPr>
        <w:t>ScienceRise</w:t>
      </w:r>
      <w:proofErr w:type="spellEnd"/>
      <w:r w:rsidRPr="00C31C42">
        <w:rPr>
          <w:sz w:val="18"/>
          <w:szCs w:val="18"/>
        </w:rPr>
        <w:t xml:space="preserve">: Pharmaceutical Science, 2 (18). </w:t>
      </w:r>
      <w:proofErr w:type="spellStart"/>
      <w:r w:rsidRPr="00C31C42">
        <w:rPr>
          <w:sz w:val="18"/>
          <w:szCs w:val="18"/>
        </w:rPr>
        <w:t>doi</w:t>
      </w:r>
      <w:proofErr w:type="spellEnd"/>
      <w:r w:rsidRPr="00C31C42">
        <w:rPr>
          <w:sz w:val="18"/>
          <w:szCs w:val="18"/>
        </w:rPr>
        <w:t>: https://doi.org/10.15587/2519-4852.2019.165682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a3"/>
        <w:spacing w:line="40" w:lineRule="exact"/>
        <w:ind w:left="2202"/>
        <w:rPr>
          <w:rFonts w:ascii="Calibri"/>
          <w:sz w:val="4"/>
        </w:rPr>
      </w:pPr>
      <w:r>
        <w:rPr>
          <w:rFonts w:ascii="Calibri"/>
          <w:noProof/>
          <w:sz w:val="4"/>
          <w:lang w:val="uk-UA" w:eastAsia="uk-UA"/>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5="http://schemas.microsoft.com/office/word/2012/wordml" xmlns:w16se="http://schemas.microsoft.com/office/word/2015/wordml/symex">
            <w:pict>
              <v:group w14:anchorId="3FB5CD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15522">
        <w:rPr>
          <w:rFonts w:ascii="Arial"/>
          <w:noProof/>
          <w:color w:val="BF5A14"/>
          <w:lang w:val="uk-UA" w:eastAsia="uk-UA"/>
        </w:rPr>
        <w:drawing>
          <wp:inline distT="0" distB="0" distL="0" distR="0" wp14:anchorId="638DDC11" wp14:editId="54405A8E">
            <wp:extent cx="518168" cy="62280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168" cy="622800"/>
                    </a:xfrm>
                    <a:prstGeom prst="rect">
                      <a:avLst/>
                    </a:prstGeom>
                    <a:noFill/>
                    <a:ln>
                      <a:noFill/>
                    </a:ln>
                  </pic:spPr>
                </pic:pic>
              </a:graphicData>
            </a:graphic>
          </wp:inline>
        </w:drawing>
      </w:r>
    </w:p>
    <w:p w:rsidR="00AE3E37" w:rsidRDefault="00CA624F">
      <w:pPr>
        <w:spacing w:before="41" w:line="154" w:lineRule="exact"/>
        <w:ind w:left="213" w:right="231"/>
        <w:jc w:val="both"/>
        <w:rPr>
          <w:rFonts w:ascii="Arial"/>
          <w:sz w:val="14"/>
        </w:rPr>
      </w:pPr>
      <w:proofErr w:type="spellStart"/>
      <w:r>
        <w:rPr>
          <w:rFonts w:ascii="Arial"/>
          <w:sz w:val="14"/>
        </w:rPr>
        <w:t>Larysa</w:t>
      </w:r>
      <w:proofErr w:type="spellEnd"/>
      <w:r>
        <w:rPr>
          <w:rFonts w:ascii="Arial"/>
          <w:sz w:val="14"/>
        </w:rPr>
        <w:t xml:space="preserve"> </w:t>
      </w:r>
      <w:proofErr w:type="spellStart"/>
      <w:r>
        <w:rPr>
          <w:rFonts w:ascii="Arial"/>
          <w:sz w:val="14"/>
        </w:rPr>
        <w:t>Iakovlieva</w:t>
      </w:r>
      <w:proofErr w:type="spellEnd"/>
      <w:r w:rsidR="006851AC">
        <w:rPr>
          <w:rFonts w:ascii="Arial"/>
          <w:sz w:val="14"/>
        </w:rPr>
        <w:t xml:space="preserve"> is</w:t>
      </w:r>
      <w:r w:rsidR="00A9710C">
        <w:rPr>
          <w:rFonts w:ascii="Arial"/>
          <w:sz w:val="14"/>
        </w:rPr>
        <w:t xml:space="preserve"> </w:t>
      </w:r>
      <w:r w:rsidR="006851AC" w:rsidRPr="006851AC">
        <w:rPr>
          <w:rFonts w:ascii="Arial"/>
          <w:sz w:val="14"/>
        </w:rPr>
        <w:t xml:space="preserve">Doctor of Pharmaceutical Sciences, Professor. He has extensive experience in pharmacological and </w:t>
      </w:r>
      <w:proofErr w:type="spellStart"/>
      <w:r w:rsidR="006851AC" w:rsidRPr="006851AC">
        <w:rPr>
          <w:rFonts w:ascii="Arial"/>
          <w:sz w:val="14"/>
        </w:rPr>
        <w:t>pharmacoeconomic</w:t>
      </w:r>
      <w:proofErr w:type="spellEnd"/>
      <w:r w:rsidR="006851AC" w:rsidRPr="006851AC">
        <w:rPr>
          <w:rFonts w:ascii="Arial"/>
          <w:sz w:val="14"/>
        </w:rPr>
        <w:t xml:space="preserve"> research. In 2004, she opened the first </w:t>
      </w:r>
      <w:proofErr w:type="spellStart"/>
      <w:r w:rsidR="006851AC" w:rsidRPr="006851AC">
        <w:rPr>
          <w:rFonts w:ascii="Arial"/>
          <w:sz w:val="14"/>
        </w:rPr>
        <w:t>pharmacoeconomic</w:t>
      </w:r>
      <w:proofErr w:type="spellEnd"/>
      <w:r w:rsidR="006851AC" w:rsidRPr="006851AC">
        <w:rPr>
          <w:rFonts w:ascii="Arial"/>
          <w:sz w:val="14"/>
        </w:rPr>
        <w:t xml:space="preserve"> department in Ukraine. In 2012-2015, collaborated with </w:t>
      </w:r>
      <w:proofErr w:type="gramStart"/>
      <w:r w:rsidR="006851AC" w:rsidRPr="006851AC">
        <w:rPr>
          <w:rFonts w:ascii="Arial"/>
          <w:sz w:val="14"/>
        </w:rPr>
        <w:t>WHO</w:t>
      </w:r>
      <w:proofErr w:type="gramEnd"/>
      <w:r w:rsidR="006851AC" w:rsidRPr="006851AC">
        <w:rPr>
          <w:rFonts w:ascii="Arial"/>
          <w:sz w:val="14"/>
        </w:rPr>
        <w:t xml:space="preserve"> on antibiotic resistance.</w:t>
      </w:r>
      <w:r w:rsidR="00292D57">
        <w:rPr>
          <w:rFonts w:ascii="Arial"/>
          <w:sz w:val="14"/>
        </w:rPr>
        <w:t xml:space="preserve"> </w:t>
      </w:r>
      <w:proofErr w:type="spellStart"/>
      <w:r w:rsidR="00292D57" w:rsidRPr="00292D57">
        <w:rPr>
          <w:rFonts w:ascii="Arial"/>
          <w:sz w:val="14"/>
        </w:rPr>
        <w:t>Larysa</w:t>
      </w:r>
      <w:proofErr w:type="spellEnd"/>
      <w:r w:rsidR="00292D57" w:rsidRPr="00292D57">
        <w:rPr>
          <w:rFonts w:ascii="Arial"/>
          <w:sz w:val="14"/>
        </w:rPr>
        <w:t xml:space="preserve"> V. </w:t>
      </w:r>
      <w:proofErr w:type="spellStart"/>
      <w:r w:rsidR="00292D57" w:rsidRPr="00292D57">
        <w:rPr>
          <w:rFonts w:ascii="Arial"/>
          <w:sz w:val="14"/>
        </w:rPr>
        <w:t>Iakovlieva</w:t>
      </w:r>
      <w:proofErr w:type="spellEnd"/>
      <w:r w:rsidR="00292D57" w:rsidRPr="00292D57">
        <w:rPr>
          <w:rFonts w:ascii="Arial"/>
          <w:sz w:val="14"/>
        </w:rPr>
        <w:t xml:space="preserve"> is a member of the Expert Committee on the Establishment of the National List of Essential Medicines of the Ministry of Health of Ukraine</w:t>
      </w:r>
    </w:p>
    <w:p w:rsidR="00AE3E37" w:rsidRDefault="00A9710C">
      <w:pPr>
        <w:spacing w:before="62"/>
        <w:ind w:left="4217" w:right="4235"/>
        <w:jc w:val="center"/>
        <w:rPr>
          <w:rFonts w:ascii="Arial"/>
          <w:sz w:val="14"/>
        </w:rPr>
      </w:pPr>
      <w:r>
        <w:rPr>
          <w:rFonts w:ascii="Arial"/>
          <w:sz w:val="14"/>
        </w:rPr>
        <w:t xml:space="preserve">Email: </w:t>
      </w:r>
      <w:hyperlink r:id="rId12" w:history="1">
        <w:r w:rsidR="00292D57" w:rsidRPr="005E48E8">
          <w:rPr>
            <w:rStyle w:val="ac"/>
            <w:rFonts w:ascii="Arial"/>
            <w:sz w:val="14"/>
          </w:rPr>
          <w:t>ph-econom@nuph.edu.ua</w:t>
        </w:r>
      </w:hyperlink>
      <w:r w:rsidR="00292D57">
        <w:rPr>
          <w:rFonts w:ascii="Arial"/>
          <w:sz w:val="14"/>
        </w:rPr>
        <w:t xml:space="preserve"> </w:t>
      </w:r>
    </w:p>
    <w:p w:rsidR="00CA624F" w:rsidRDefault="00292ED9" w:rsidP="00CA624F">
      <w:pPr>
        <w:pStyle w:val="a3"/>
        <w:spacing w:before="2"/>
        <w:rPr>
          <w:rFonts w:ascii="Arial"/>
        </w:rPr>
      </w:pPr>
      <w:r>
        <w:rPr>
          <w:noProof/>
          <w:lang w:val="uk-UA" w:eastAsia="uk-UA"/>
        </w:rPr>
        <mc:AlternateContent>
          <mc:Choice Requires="wps">
            <w:drawing>
              <wp:anchor distT="0" distB="0" distL="0" distR="0" simplePos="0" relativeHeight="1072" behindDoc="0" locked="0" layoutInCell="1" allowOverlap="1" wp14:anchorId="35BD3484" wp14:editId="369484B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6EC32AF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CA624F">
        <w:rPr>
          <w:noProof/>
        </w:rPr>
        <w:t xml:space="preserve">              </w:t>
      </w:r>
      <w:r w:rsidR="00915522" w:rsidRPr="00915522">
        <w:t xml:space="preserve"> </w:t>
      </w:r>
      <w:r w:rsidR="00915522">
        <w:rPr>
          <w:noProof/>
          <w:lang w:val="uk-UA" w:eastAsia="uk-UA"/>
        </w:rPr>
        <w:drawing>
          <wp:inline distT="0" distB="0" distL="0" distR="0">
            <wp:extent cx="460758" cy="622800"/>
            <wp:effectExtent l="0" t="0" r="0" b="6350"/>
            <wp:docPr id="6" name="Рисунок 6" descr="http://pharmacoeconomics.nuph.edu.ua/wp-content/uploads/2020/01/bahlai-teti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harmacoeconomics.nuph.edu.ua/wp-content/uploads/2020/01/bahlai-tetian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0758" cy="622800"/>
                    </a:xfrm>
                    <a:prstGeom prst="rect">
                      <a:avLst/>
                    </a:prstGeom>
                    <a:noFill/>
                    <a:ln>
                      <a:noFill/>
                    </a:ln>
                  </pic:spPr>
                </pic:pic>
              </a:graphicData>
            </a:graphic>
          </wp:inline>
        </w:drawing>
      </w:r>
      <w:bookmarkStart w:id="0" w:name="_GoBack"/>
      <w:bookmarkEnd w:id="0"/>
    </w:p>
    <w:p w:rsidR="00CA624F" w:rsidRDefault="00CA624F" w:rsidP="00CA624F">
      <w:pPr>
        <w:spacing w:before="41" w:line="154" w:lineRule="exact"/>
        <w:ind w:left="213" w:right="231"/>
        <w:jc w:val="both"/>
        <w:rPr>
          <w:rFonts w:ascii="Arial"/>
          <w:sz w:val="14"/>
        </w:rPr>
      </w:pPr>
      <w:proofErr w:type="spellStart"/>
      <w:r>
        <w:rPr>
          <w:rFonts w:ascii="Arial"/>
          <w:sz w:val="14"/>
        </w:rPr>
        <w:t>Tetiana</w:t>
      </w:r>
      <w:proofErr w:type="spellEnd"/>
      <w:r>
        <w:rPr>
          <w:rFonts w:ascii="Arial"/>
          <w:sz w:val="14"/>
        </w:rPr>
        <w:t xml:space="preserve"> </w:t>
      </w:r>
      <w:proofErr w:type="spellStart"/>
      <w:r>
        <w:rPr>
          <w:rFonts w:ascii="Arial"/>
          <w:sz w:val="14"/>
        </w:rPr>
        <w:t>Bahlai</w:t>
      </w:r>
      <w:proofErr w:type="spellEnd"/>
      <w:r>
        <w:rPr>
          <w:rFonts w:ascii="Arial"/>
          <w:sz w:val="14"/>
        </w:rPr>
        <w:t xml:space="preserve"> </w:t>
      </w:r>
      <w:r w:rsidR="006851AC">
        <w:rPr>
          <w:rFonts w:ascii="Arial"/>
          <w:sz w:val="14"/>
        </w:rPr>
        <w:t xml:space="preserve">is </w:t>
      </w:r>
      <w:r w:rsidR="006851AC" w:rsidRPr="006851AC">
        <w:rPr>
          <w:rFonts w:ascii="Arial"/>
          <w:sz w:val="14"/>
        </w:rPr>
        <w:t>PhD student. Investigates the relationship of antibiotic resistance with the structure of the pharmaceutical market and consumption of antimicrobials in Ukraine, as well as the role of pharmacists in the development of antibiotic resistance</w:t>
      </w:r>
    </w:p>
    <w:p w:rsidR="00CA624F" w:rsidRDefault="00CA624F" w:rsidP="00CA624F">
      <w:pPr>
        <w:spacing w:before="62"/>
        <w:ind w:left="4217" w:right="4235"/>
        <w:jc w:val="center"/>
        <w:rPr>
          <w:rFonts w:ascii="Arial"/>
          <w:sz w:val="14"/>
        </w:rPr>
      </w:pPr>
      <w:r>
        <w:rPr>
          <w:rFonts w:ascii="Arial"/>
          <w:sz w:val="14"/>
        </w:rPr>
        <w:t xml:space="preserve">Email: </w:t>
      </w:r>
      <w:hyperlink r:id="rId14" w:history="1">
        <w:r w:rsidRPr="00D20540">
          <w:rPr>
            <w:rStyle w:val="ac"/>
            <w:rFonts w:ascii="Arial"/>
            <w:sz w:val="14"/>
          </w:rPr>
          <w:t>mrs.bata@gmail.com</w:t>
        </w:r>
      </w:hyperlink>
    </w:p>
    <w:p w:rsidR="00CA624F" w:rsidRDefault="00CA624F" w:rsidP="00CA624F">
      <w:pPr>
        <w:pStyle w:val="a3"/>
        <w:spacing w:before="2"/>
        <w:rPr>
          <w:rFonts w:ascii="Arial"/>
          <w:sz w:val="19"/>
        </w:rPr>
      </w:pPr>
      <w:r>
        <w:rPr>
          <w:noProof/>
          <w:lang w:val="uk-UA" w:eastAsia="uk-UA"/>
        </w:rPr>
        <mc:AlternateContent>
          <mc:Choice Requires="wps">
            <w:drawing>
              <wp:anchor distT="0" distB="0" distL="0" distR="0" simplePos="0" relativeHeight="251659264" behindDoc="0" locked="0" layoutInCell="1" allowOverlap="1" wp14:anchorId="3FF0AEC8" wp14:editId="0F6E06DA">
                <wp:simplePos x="0" y="0"/>
                <wp:positionH relativeFrom="page">
                  <wp:posOffset>2058670</wp:posOffset>
                </wp:positionH>
                <wp:positionV relativeFrom="paragraph">
                  <wp:posOffset>168275</wp:posOffset>
                </wp:positionV>
                <wp:extent cx="3442335" cy="0"/>
                <wp:effectExtent l="10795" t="6985" r="13970" b="12065"/>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Wp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OG5&#10;5ak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a3"/>
        <w:rPr>
          <w:rFonts w:ascii="Arial"/>
          <w:sz w:val="20"/>
        </w:rPr>
      </w:pPr>
    </w:p>
    <w:sectPr w:rsidR="00AE3E37" w:rsidSect="006851A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3AE" w:rsidRDefault="00D453AE">
      <w:r>
        <w:separator/>
      </w:r>
    </w:p>
  </w:endnote>
  <w:endnote w:type="continuationSeparator" w:id="0">
    <w:p w:rsidR="00D453AE" w:rsidRDefault="00D4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uk-UA" w:eastAsia="uk-U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uk-UA" w:eastAsia="uk-U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uk-UA" w:eastAsia="uk-U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3AE" w:rsidRDefault="00D453AE">
      <w:r>
        <w:separator/>
      </w:r>
    </w:p>
  </w:footnote>
  <w:footnote w:type="continuationSeparator" w:id="0">
    <w:p w:rsidR="00D453AE" w:rsidRDefault="00D453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uk-UA" w:eastAsia="uk-U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uk-UA" w:eastAsia="uk-U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8F"/>
    <w:rsid w:val="000323FA"/>
    <w:rsid w:val="0004216B"/>
    <w:rsid w:val="00093F7F"/>
    <w:rsid w:val="000A5808"/>
    <w:rsid w:val="000D49A4"/>
    <w:rsid w:val="000E2911"/>
    <w:rsid w:val="000E71C3"/>
    <w:rsid w:val="001263DF"/>
    <w:rsid w:val="001D3331"/>
    <w:rsid w:val="0026463C"/>
    <w:rsid w:val="00287181"/>
    <w:rsid w:val="00292D57"/>
    <w:rsid w:val="00292ED9"/>
    <w:rsid w:val="002D70A9"/>
    <w:rsid w:val="00404E5B"/>
    <w:rsid w:val="00414F7B"/>
    <w:rsid w:val="004355DC"/>
    <w:rsid w:val="004415E5"/>
    <w:rsid w:val="004749B4"/>
    <w:rsid w:val="00494130"/>
    <w:rsid w:val="004F3523"/>
    <w:rsid w:val="005973B9"/>
    <w:rsid w:val="005B3A56"/>
    <w:rsid w:val="006060CE"/>
    <w:rsid w:val="0063497F"/>
    <w:rsid w:val="00660C77"/>
    <w:rsid w:val="006851AC"/>
    <w:rsid w:val="007654D1"/>
    <w:rsid w:val="00833C22"/>
    <w:rsid w:val="00873DF0"/>
    <w:rsid w:val="008756E6"/>
    <w:rsid w:val="00915522"/>
    <w:rsid w:val="009B2D44"/>
    <w:rsid w:val="00A07E82"/>
    <w:rsid w:val="00A9710C"/>
    <w:rsid w:val="00AE3E37"/>
    <w:rsid w:val="00B21A57"/>
    <w:rsid w:val="00BC2A2F"/>
    <w:rsid w:val="00C31C42"/>
    <w:rsid w:val="00C33602"/>
    <w:rsid w:val="00CA624F"/>
    <w:rsid w:val="00CD6F55"/>
    <w:rsid w:val="00CE384A"/>
    <w:rsid w:val="00CE3C77"/>
    <w:rsid w:val="00D453AE"/>
    <w:rsid w:val="00DE3104"/>
    <w:rsid w:val="00E30C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h-econom@nuph.edu.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mrs.bata@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UA</c:v>
                </c:pt>
              </c:strCache>
            </c:strRef>
          </c:tx>
          <c:invertIfNegative val="0"/>
          <c:cat>
            <c:numRef>
              <c:f>Лист1!$A$2:$A$7</c:f>
              <c:numCache>
                <c:formatCode>General</c:formatCode>
                <c:ptCount val="6"/>
                <c:pt idx="0">
                  <c:v>2013</c:v>
                </c:pt>
                <c:pt idx="1">
                  <c:v>2014</c:v>
                </c:pt>
                <c:pt idx="2">
                  <c:v>2015</c:v>
                </c:pt>
                <c:pt idx="3">
                  <c:v>2016</c:v>
                </c:pt>
                <c:pt idx="4">
                  <c:v>2017</c:v>
                </c:pt>
                <c:pt idx="5">
                  <c:v>2018</c:v>
                </c:pt>
              </c:numCache>
            </c:numRef>
          </c:cat>
          <c:val>
            <c:numRef>
              <c:f>Лист1!$B$2:$B$7</c:f>
              <c:numCache>
                <c:formatCode>General</c:formatCode>
                <c:ptCount val="6"/>
                <c:pt idx="0">
                  <c:v>11.6</c:v>
                </c:pt>
                <c:pt idx="1">
                  <c:v>11</c:v>
                </c:pt>
                <c:pt idx="2">
                  <c:v>10.1</c:v>
                </c:pt>
                <c:pt idx="3">
                  <c:v>11.1</c:v>
                </c:pt>
                <c:pt idx="4">
                  <c:v>11.4</c:v>
                </c:pt>
                <c:pt idx="5">
                  <c:v>12.5</c:v>
                </c:pt>
              </c:numCache>
            </c:numRef>
          </c:val>
        </c:ser>
        <c:ser>
          <c:idx val="1"/>
          <c:order val="1"/>
          <c:tx>
            <c:strRef>
              <c:f>Лист1!$C$1</c:f>
              <c:strCache>
                <c:ptCount val="1"/>
                <c:pt idx="0">
                  <c:v>UK</c:v>
                </c:pt>
              </c:strCache>
            </c:strRef>
          </c:tx>
          <c:invertIfNegative val="0"/>
          <c:cat>
            <c:numRef>
              <c:f>Лист1!$A$2:$A$7</c:f>
              <c:numCache>
                <c:formatCode>General</c:formatCode>
                <c:ptCount val="6"/>
                <c:pt idx="0">
                  <c:v>2013</c:v>
                </c:pt>
                <c:pt idx="1">
                  <c:v>2014</c:v>
                </c:pt>
                <c:pt idx="2">
                  <c:v>2015</c:v>
                </c:pt>
                <c:pt idx="3">
                  <c:v>2016</c:v>
                </c:pt>
                <c:pt idx="4">
                  <c:v>2017</c:v>
                </c:pt>
                <c:pt idx="5">
                  <c:v>2018</c:v>
                </c:pt>
              </c:numCache>
            </c:numRef>
          </c:cat>
          <c:val>
            <c:numRef>
              <c:f>Лист1!$C$2:$C$7</c:f>
              <c:numCache>
                <c:formatCode>General</c:formatCode>
                <c:ptCount val="6"/>
                <c:pt idx="0">
                  <c:v>18.3</c:v>
                </c:pt>
                <c:pt idx="1">
                  <c:v>18.5</c:v>
                </c:pt>
                <c:pt idx="2">
                  <c:v>17.899999999999999</c:v>
                </c:pt>
                <c:pt idx="3">
                  <c:v>17.5</c:v>
                </c:pt>
                <c:pt idx="4">
                  <c:v>17.100000000000001</c:v>
                </c:pt>
                <c:pt idx="5">
                  <c:v>16.3</c:v>
                </c:pt>
              </c:numCache>
            </c:numRef>
          </c:val>
        </c:ser>
        <c:dLbls>
          <c:showLegendKey val="0"/>
          <c:showVal val="0"/>
          <c:showCatName val="0"/>
          <c:showSerName val="0"/>
          <c:showPercent val="0"/>
          <c:showBubbleSize val="0"/>
        </c:dLbls>
        <c:gapWidth val="150"/>
        <c:axId val="126976768"/>
        <c:axId val="126978304"/>
      </c:barChart>
      <c:catAx>
        <c:axId val="126976768"/>
        <c:scaling>
          <c:orientation val="minMax"/>
        </c:scaling>
        <c:delete val="0"/>
        <c:axPos val="b"/>
        <c:numFmt formatCode="General" sourceLinked="1"/>
        <c:majorTickMark val="out"/>
        <c:minorTickMark val="none"/>
        <c:tickLblPos val="nextTo"/>
        <c:crossAx val="126978304"/>
        <c:crosses val="autoZero"/>
        <c:auto val="1"/>
        <c:lblAlgn val="ctr"/>
        <c:lblOffset val="100"/>
        <c:noMultiLvlLbl val="0"/>
      </c:catAx>
      <c:valAx>
        <c:axId val="126978304"/>
        <c:scaling>
          <c:orientation val="minMax"/>
        </c:scaling>
        <c:delete val="0"/>
        <c:axPos val="l"/>
        <c:majorGridlines/>
        <c:numFmt formatCode="General" sourceLinked="1"/>
        <c:majorTickMark val="out"/>
        <c:minorTickMark val="none"/>
        <c:tickLblPos val="nextTo"/>
        <c:crossAx val="1269767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2410</Words>
  <Characters>1374</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2020-03-11T19:32:00Z</dcterms:created>
  <dcterms:modified xsi:type="dcterms:W3CDTF">2020-03-11T19:32:00Z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