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AA934" w14:textId="77777777" w:rsidR="00E72774" w:rsidRPr="00E72774" w:rsidRDefault="00E72774" w:rsidP="00E72774">
      <w:pPr>
        <w:tabs>
          <w:tab w:val="left" w:pos="2687"/>
        </w:tabs>
        <w:adjustRightInd w:val="0"/>
        <w:snapToGrid w:val="0"/>
        <w:spacing w:after="240" w:line="240" w:lineRule="atLeast"/>
        <w:rPr>
          <w:rFonts w:ascii="Arial" w:hAnsi="Arial" w:cs="Arial"/>
          <w:b/>
          <w:snapToGrid w:val="0"/>
          <w:sz w:val="32"/>
          <w:szCs w:val="20"/>
          <w:lang w:bidi="en-US"/>
        </w:rPr>
      </w:pPr>
      <w:r w:rsidRPr="00E72774">
        <w:rPr>
          <w:rFonts w:ascii="Arial" w:hAnsi="Arial" w:cs="Arial"/>
          <w:b/>
          <w:snapToGrid w:val="0"/>
          <w:sz w:val="32"/>
          <w:szCs w:val="20"/>
          <w:lang w:bidi="en-US"/>
        </w:rPr>
        <w:t xml:space="preserve">Genetic diversity of </w:t>
      </w:r>
      <w:r w:rsidRPr="00E72774">
        <w:rPr>
          <w:rFonts w:ascii="Arial" w:hAnsi="Arial" w:cs="Arial"/>
          <w:b/>
          <w:i/>
          <w:iCs/>
          <w:snapToGrid w:val="0"/>
          <w:sz w:val="32"/>
          <w:szCs w:val="20"/>
          <w:lang w:bidi="en-US"/>
        </w:rPr>
        <w:t>Clostridium</w:t>
      </w:r>
      <w:r w:rsidRPr="00E72774">
        <w:rPr>
          <w:rFonts w:ascii="Arial" w:hAnsi="Arial" w:cs="Arial"/>
          <w:b/>
          <w:snapToGrid w:val="0"/>
          <w:sz w:val="32"/>
          <w:szCs w:val="20"/>
          <w:lang w:bidi="en-US"/>
        </w:rPr>
        <w:t xml:space="preserve"> </w:t>
      </w:r>
      <w:r w:rsidRPr="00E72774">
        <w:rPr>
          <w:rFonts w:ascii="Arial" w:hAnsi="Arial" w:cs="Arial"/>
          <w:b/>
          <w:i/>
          <w:iCs/>
          <w:snapToGrid w:val="0"/>
          <w:sz w:val="32"/>
          <w:szCs w:val="20"/>
          <w:lang w:bidi="en-US"/>
        </w:rPr>
        <w:t xml:space="preserve">perfringens </w:t>
      </w:r>
      <w:r w:rsidRPr="00E72774">
        <w:rPr>
          <w:rFonts w:ascii="Arial" w:hAnsi="Arial" w:cs="Arial"/>
          <w:b/>
          <w:snapToGrid w:val="0"/>
          <w:sz w:val="32"/>
          <w:szCs w:val="20"/>
          <w:lang w:bidi="en-US"/>
        </w:rPr>
        <w:t>strains</w:t>
      </w:r>
      <w:r w:rsidRPr="00E72774">
        <w:rPr>
          <w:rFonts w:ascii="Arial" w:hAnsi="Arial" w:cs="Arial"/>
          <w:b/>
          <w:i/>
          <w:iCs/>
          <w:snapToGrid w:val="0"/>
          <w:sz w:val="32"/>
          <w:szCs w:val="20"/>
          <w:lang w:bidi="en-US"/>
        </w:rPr>
        <w:t xml:space="preserve"> </w:t>
      </w:r>
      <w:r w:rsidRPr="00E72774">
        <w:rPr>
          <w:rFonts w:ascii="Arial" w:hAnsi="Arial" w:cs="Arial"/>
          <w:b/>
          <w:snapToGrid w:val="0"/>
          <w:sz w:val="32"/>
          <w:szCs w:val="20"/>
          <w:lang w:bidi="en-US"/>
        </w:rPr>
        <w:t>isolated from broiler chickens</w:t>
      </w:r>
      <w:r w:rsidRPr="00E72774">
        <w:rPr>
          <w:rFonts w:ascii="Arial" w:hAnsi="Arial" w:cs="Arial"/>
          <w:b/>
          <w:i/>
          <w:iCs/>
          <w:snapToGrid w:val="0"/>
          <w:sz w:val="32"/>
          <w:szCs w:val="20"/>
          <w:lang w:bidi="en-US"/>
        </w:rPr>
        <w:t xml:space="preserve"> </w:t>
      </w:r>
      <w:r w:rsidRPr="00E72774">
        <w:rPr>
          <w:rFonts w:ascii="Arial" w:hAnsi="Arial" w:cs="Arial"/>
          <w:b/>
          <w:snapToGrid w:val="0"/>
          <w:sz w:val="32"/>
          <w:szCs w:val="20"/>
          <w:lang w:bidi="en-US"/>
        </w:rPr>
        <w:t xml:space="preserve">revealed by PFGE analysis in China and Pakistan </w:t>
      </w:r>
    </w:p>
    <w:p w14:paraId="60460BC1" w14:textId="39DCEA6E" w:rsidR="005973B9" w:rsidRDefault="00E72774" w:rsidP="00E72774">
      <w:pPr>
        <w:pStyle w:val="BodyText"/>
        <w:spacing w:before="73" w:line="198" w:lineRule="exact"/>
        <w:ind w:left="100" w:right="5987"/>
        <w:rPr>
          <w:rFonts w:ascii="Arial"/>
        </w:rPr>
      </w:pPr>
      <w:r>
        <w:rPr>
          <w:rFonts w:ascii="Arial"/>
        </w:rPr>
        <w:t>Muhammad Umar Zafar Khan PhD LVRI-CAAS, China</w:t>
      </w:r>
    </w:p>
    <w:p w14:paraId="4F425A65" w14:textId="05DC2726" w:rsidR="00E72774" w:rsidRDefault="00E72774" w:rsidP="00E72774">
      <w:pPr>
        <w:pStyle w:val="BodyText"/>
        <w:spacing w:before="73" w:line="198" w:lineRule="exact"/>
        <w:ind w:right="5987"/>
        <w:rPr>
          <w:rFonts w:ascii="Arial"/>
        </w:rPr>
      </w:pPr>
      <w:r>
        <w:rPr>
          <w:rFonts w:ascii="Arial"/>
        </w:rPr>
        <w:t xml:space="preserve"> Jianping Cai PhD LVRI-CAAS, China</w:t>
      </w:r>
    </w:p>
    <w:p w14:paraId="290B519B" w14:textId="144A4707" w:rsidR="00E72774" w:rsidRDefault="009F4035" w:rsidP="009F4035">
      <w:pPr>
        <w:pStyle w:val="BodyText"/>
        <w:ind w:firstLine="100"/>
        <w:rPr>
          <w:rFonts w:ascii="Arial"/>
          <w:sz w:val="20"/>
        </w:rPr>
      </w:pPr>
      <w:r w:rsidRPr="003574C1">
        <w:rPr>
          <w:rFonts w:ascii="Palatino Linotype" w:hAnsi="Palatino Linotype"/>
          <w:lang w:bidi="en-US"/>
        </w:rPr>
        <w:t>State Key Laboratory of Veterinary Etiological Biology, Key Laboratory of Veterinary Parasitology of Gansu Province, Lanzhou Veterinary Research Institute, Chinese Academy of Agricultural Sciences, Lanzhou, China. 730046</w:t>
      </w:r>
    </w:p>
    <w:p w14:paraId="32710B82" w14:textId="77777777" w:rsidR="00AE3E37" w:rsidRDefault="00AE3E37">
      <w:pPr>
        <w:pStyle w:val="BodyText"/>
        <w:spacing w:before="3"/>
        <w:rPr>
          <w:rFonts w:ascii="Arial"/>
          <w:sz w:val="21"/>
        </w:rPr>
      </w:pPr>
    </w:p>
    <w:p w14:paraId="35D33E5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40B475B" w14:textId="469FF8D8" w:rsidR="00AE3E37" w:rsidRPr="00E72774" w:rsidRDefault="00A9710C">
      <w:pPr>
        <w:pStyle w:val="Heading3"/>
        <w:spacing w:before="147"/>
        <w:jc w:val="both"/>
      </w:pPr>
      <w:r w:rsidRPr="00E72774">
        <w:t>Abstract</w:t>
      </w:r>
      <w:r w:rsidR="00404E5B" w:rsidRPr="00E72774">
        <w:t xml:space="preserve"> </w:t>
      </w:r>
    </w:p>
    <w:p w14:paraId="7415CE35" w14:textId="77777777" w:rsidR="00AE3E37" w:rsidRPr="008756E6" w:rsidRDefault="00AE3E37" w:rsidP="008756E6">
      <w:pPr>
        <w:tabs>
          <w:tab w:val="left" w:pos="384"/>
        </w:tabs>
        <w:ind w:right="117"/>
      </w:pPr>
    </w:p>
    <w:p w14:paraId="0394ABD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A86488C" w14:textId="2435FE59" w:rsidR="00E72774" w:rsidRPr="00E72774" w:rsidRDefault="00E72774" w:rsidP="00E72774">
      <w:pPr>
        <w:pStyle w:val="BodyText"/>
        <w:rPr>
          <w:rFonts w:ascii="Calibri"/>
          <w:sz w:val="20"/>
          <w:lang w:bidi="en-US"/>
        </w:rPr>
      </w:pPr>
      <w:r w:rsidRPr="00E72774">
        <w:rPr>
          <w:rFonts w:ascii="Calibri"/>
          <w:i/>
          <w:iCs/>
          <w:sz w:val="20"/>
          <w:lang w:bidi="en-US"/>
        </w:rPr>
        <w:t>Clostridium</w:t>
      </w:r>
      <w:r w:rsidRPr="00E72774">
        <w:rPr>
          <w:rFonts w:ascii="Calibri"/>
          <w:sz w:val="20"/>
          <w:lang w:bidi="en-US"/>
        </w:rPr>
        <w:t xml:space="preserve"> </w:t>
      </w:r>
      <w:r w:rsidRPr="00E72774">
        <w:rPr>
          <w:rFonts w:ascii="Calibri"/>
          <w:i/>
          <w:iCs/>
          <w:sz w:val="20"/>
          <w:lang w:bidi="en-US"/>
        </w:rPr>
        <w:t>perfringens</w:t>
      </w:r>
      <w:r w:rsidRPr="00E72774">
        <w:rPr>
          <w:rFonts w:ascii="Calibri"/>
          <w:sz w:val="20"/>
          <w:lang w:bidi="en-US"/>
        </w:rPr>
        <w:t xml:space="preserve"> (</w:t>
      </w:r>
      <w:r w:rsidRPr="00E72774">
        <w:rPr>
          <w:rFonts w:ascii="Calibri"/>
          <w:i/>
          <w:iCs/>
          <w:sz w:val="20"/>
          <w:lang w:bidi="en-US"/>
        </w:rPr>
        <w:t>C.</w:t>
      </w:r>
      <w:r w:rsidRPr="00E72774">
        <w:rPr>
          <w:rFonts w:ascii="Calibri"/>
          <w:sz w:val="20"/>
          <w:lang w:bidi="en-US"/>
        </w:rPr>
        <w:t xml:space="preserve"> </w:t>
      </w:r>
      <w:r w:rsidRPr="00E72774">
        <w:rPr>
          <w:rFonts w:ascii="Calibri"/>
          <w:i/>
          <w:iCs/>
          <w:sz w:val="20"/>
          <w:lang w:bidi="en-US"/>
        </w:rPr>
        <w:t>perfringens</w:t>
      </w:r>
      <w:r w:rsidRPr="00E72774">
        <w:rPr>
          <w:rFonts w:ascii="Calibri"/>
          <w:sz w:val="20"/>
          <w:lang w:bidi="en-US"/>
        </w:rPr>
        <w:t xml:space="preserve">) is widely hosted in broiler chickens and responsible for clinical and subclinical enteritis, especially for necrotic enteritis (NE). In this study, in order to reveal the genetic diversity of epidemic </w:t>
      </w:r>
      <w:r w:rsidRPr="00E72774">
        <w:rPr>
          <w:rFonts w:ascii="Calibri"/>
          <w:i/>
          <w:iCs/>
          <w:sz w:val="20"/>
          <w:lang w:bidi="en-US"/>
        </w:rPr>
        <w:t>C. perfringens</w:t>
      </w:r>
      <w:r w:rsidRPr="00E72774">
        <w:rPr>
          <w:rFonts w:ascii="Calibri"/>
          <w:sz w:val="20"/>
          <w:lang w:bidi="en-US"/>
        </w:rPr>
        <w:t xml:space="preserve"> in China and Pakistan broiler chicken, the toxinotypes and pulsotypes of 79 isolates of </w:t>
      </w:r>
      <w:r w:rsidRPr="00E72774">
        <w:rPr>
          <w:rFonts w:ascii="Calibri"/>
          <w:i/>
          <w:iCs/>
          <w:sz w:val="20"/>
          <w:lang w:bidi="en-US"/>
        </w:rPr>
        <w:t>C.</w:t>
      </w:r>
      <w:r w:rsidRPr="00E72774">
        <w:rPr>
          <w:rFonts w:ascii="Calibri"/>
          <w:sz w:val="20"/>
          <w:lang w:bidi="en-US"/>
        </w:rPr>
        <w:t xml:space="preserve"> </w:t>
      </w:r>
      <w:r w:rsidRPr="00E72774">
        <w:rPr>
          <w:rFonts w:ascii="Calibri"/>
          <w:i/>
          <w:iCs/>
          <w:sz w:val="20"/>
          <w:lang w:bidi="en-US"/>
        </w:rPr>
        <w:t>perfringens</w:t>
      </w:r>
      <w:r w:rsidRPr="00E72774">
        <w:rPr>
          <w:rFonts w:ascii="Calibri"/>
          <w:sz w:val="20"/>
          <w:lang w:bidi="en-US"/>
        </w:rPr>
        <w:t xml:space="preserve"> collected from healthy and clinically sick chicken hosted at different geographical regions of China and Pakistan were analyzed by polymerase chain reaction (PCR) and pulsed-field gel electrophoresis (PFGE). Toxinotyping results revealed that all the isolates (n=50) from China were type A (</w:t>
      </w:r>
      <w:r w:rsidRPr="00E72774">
        <w:rPr>
          <w:rFonts w:ascii="Calibri" w:hAnsi="Calibri" w:cs="Calibri"/>
          <w:sz w:val="20"/>
          <w:lang w:bidi="en-US"/>
        </w:rPr>
        <w:t>α</w:t>
      </w:r>
      <w:r w:rsidRPr="00E72774">
        <w:rPr>
          <w:rFonts w:ascii="Calibri"/>
          <w:sz w:val="20"/>
          <w:lang w:bidi="en-US"/>
        </w:rPr>
        <w:t>-toxin positive) while 23 and 6 isolates (n=29) from Pakistan were type A (</w:t>
      </w:r>
      <w:r w:rsidRPr="00E72774">
        <w:rPr>
          <w:rFonts w:ascii="Calibri" w:hAnsi="Calibri" w:cs="Calibri"/>
          <w:sz w:val="20"/>
          <w:lang w:bidi="en-US"/>
        </w:rPr>
        <w:t>α</w:t>
      </w:r>
      <w:r w:rsidRPr="00E72774">
        <w:rPr>
          <w:rFonts w:ascii="Calibri"/>
          <w:sz w:val="20"/>
          <w:lang w:bidi="en-US"/>
        </w:rPr>
        <w:t>-toxin positive) and type G (</w:t>
      </w:r>
      <w:r w:rsidRPr="00E72774">
        <w:rPr>
          <w:rFonts w:ascii="Calibri" w:hAnsi="Calibri" w:cs="Calibri"/>
          <w:sz w:val="20"/>
          <w:lang w:bidi="en-US"/>
        </w:rPr>
        <w:t>α</w:t>
      </w:r>
      <w:r w:rsidRPr="00E72774">
        <w:rPr>
          <w:rFonts w:ascii="Calibri"/>
          <w:sz w:val="20"/>
          <w:lang w:bidi="en-US"/>
        </w:rPr>
        <w:t xml:space="preserve">-toxin, NetB positive), respectively. Clustering analysis further showed different pulsotypes originating from China and Pakistan and isolates were subtyped by </w:t>
      </w:r>
      <w:r w:rsidRPr="00E72774">
        <w:rPr>
          <w:rFonts w:ascii="Calibri"/>
          <w:i/>
          <w:iCs/>
          <w:sz w:val="20"/>
          <w:lang w:bidi="en-US"/>
        </w:rPr>
        <w:t>SmaI</w:t>
      </w:r>
      <w:r w:rsidRPr="00E72774">
        <w:rPr>
          <w:rFonts w:ascii="Calibri"/>
          <w:sz w:val="20"/>
          <w:lang w:bidi="en-US"/>
        </w:rPr>
        <w:t xml:space="preserve">. PFGE discriminated 79 isolates into 45 different PFGE patterns (pulsotypes). The results of this study may serve as foundation data about circulating pulsotypes of </w:t>
      </w:r>
      <w:r w:rsidRPr="00E72774">
        <w:rPr>
          <w:rFonts w:ascii="Calibri"/>
          <w:i/>
          <w:iCs/>
          <w:sz w:val="20"/>
          <w:lang w:bidi="en-US"/>
        </w:rPr>
        <w:t>C. perfringens</w:t>
      </w:r>
      <w:r w:rsidRPr="00E72774">
        <w:rPr>
          <w:rFonts w:ascii="Calibri"/>
          <w:sz w:val="20"/>
          <w:lang w:bidi="en-US"/>
        </w:rPr>
        <w:t xml:space="preserve"> in selected provinces of China and Pakistan in poultry birds.</w:t>
      </w:r>
    </w:p>
    <w:p w14:paraId="5112974F" w14:textId="77777777" w:rsidR="00E72774" w:rsidRDefault="00E72774" w:rsidP="00E72774">
      <w:pPr>
        <w:pStyle w:val="BodyText"/>
        <w:rPr>
          <w:rFonts w:ascii="Calibri"/>
          <w:b/>
          <w:sz w:val="20"/>
          <w:lang w:bidi="en-US"/>
        </w:rPr>
      </w:pPr>
    </w:p>
    <w:p w14:paraId="798FF50B" w14:textId="5143A011" w:rsidR="00AE3E37" w:rsidRDefault="00E72774" w:rsidP="00E72774">
      <w:pPr>
        <w:pStyle w:val="BodyText"/>
        <w:rPr>
          <w:rFonts w:ascii="Calibri"/>
          <w:sz w:val="20"/>
          <w:lang w:bidi="en-US"/>
        </w:rPr>
      </w:pPr>
      <w:r w:rsidRPr="00E72774">
        <w:rPr>
          <w:rFonts w:ascii="Calibri"/>
          <w:b/>
          <w:sz w:val="20"/>
          <w:lang w:bidi="en-US"/>
        </w:rPr>
        <w:t xml:space="preserve">Keywords: </w:t>
      </w:r>
      <w:r w:rsidRPr="00E72774">
        <w:rPr>
          <w:rFonts w:ascii="Calibri"/>
          <w:i/>
          <w:iCs/>
          <w:sz w:val="20"/>
          <w:lang w:bidi="en-US"/>
        </w:rPr>
        <w:t>Clostridium</w:t>
      </w:r>
      <w:r w:rsidRPr="00E72774">
        <w:rPr>
          <w:rFonts w:ascii="Calibri"/>
          <w:sz w:val="20"/>
          <w:lang w:bidi="en-US"/>
        </w:rPr>
        <w:t xml:space="preserve"> </w:t>
      </w:r>
      <w:r w:rsidRPr="00E72774">
        <w:rPr>
          <w:rFonts w:ascii="Calibri"/>
          <w:i/>
          <w:iCs/>
          <w:sz w:val="20"/>
          <w:lang w:bidi="en-US"/>
        </w:rPr>
        <w:t>perfringens</w:t>
      </w:r>
      <w:r w:rsidRPr="00E72774">
        <w:rPr>
          <w:rFonts w:ascii="Calibri"/>
          <w:sz w:val="20"/>
          <w:lang w:bidi="en-US"/>
        </w:rPr>
        <w:t>; broiler</w:t>
      </w:r>
      <w:r w:rsidRPr="00E72774">
        <w:rPr>
          <w:rFonts w:ascii="Calibri"/>
          <w:i/>
          <w:iCs/>
          <w:sz w:val="20"/>
          <w:lang w:bidi="en-US"/>
        </w:rPr>
        <w:t xml:space="preserve"> </w:t>
      </w:r>
      <w:r w:rsidRPr="00E72774">
        <w:rPr>
          <w:rFonts w:ascii="Calibri"/>
          <w:sz w:val="20"/>
          <w:lang w:bidi="en-US"/>
        </w:rPr>
        <w:t>chicken; toxinotyping; pulsotype; PFGE</w:t>
      </w:r>
    </w:p>
    <w:p w14:paraId="2A609B5F" w14:textId="77777777" w:rsidR="00E72774" w:rsidRDefault="00E72774" w:rsidP="00E72774">
      <w:pPr>
        <w:pStyle w:val="BodyText"/>
        <w:rPr>
          <w:rFonts w:ascii="Calibri"/>
          <w:sz w:val="20"/>
        </w:rPr>
      </w:pPr>
    </w:p>
    <w:p w14:paraId="22B8A6D3"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34266C" wp14:editId="68B2C62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2AD9E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692A65E" w14:textId="77777777" w:rsidR="009F4035" w:rsidRPr="007456E8" w:rsidRDefault="00E72774" w:rsidP="009F4035">
      <w:pPr>
        <w:rPr>
          <w:rFonts w:ascii="Introduction: how has the molec" w:hAnsi="Introduction: how has the molec"/>
          <w:sz w:val="34"/>
          <w:szCs w:val="44"/>
        </w:rPr>
      </w:pPr>
      <w:r>
        <w:rPr>
          <w:rFonts w:ascii="Arial"/>
          <w:noProof/>
        </w:rPr>
        <w:drawing>
          <wp:inline distT="0" distB="0" distL="0" distR="0" wp14:anchorId="0C143513" wp14:editId="08F3E9C3">
            <wp:extent cx="876300" cy="876300"/>
            <wp:effectExtent l="0" t="0" r="0" b="0"/>
            <wp:docPr id="3" name="Picture 3"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MA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6525" cy="876525"/>
                    </a:xfrm>
                    <a:prstGeom prst="rect">
                      <a:avLst/>
                    </a:prstGeom>
                  </pic:spPr>
                </pic:pic>
              </a:graphicData>
            </a:graphic>
          </wp:inline>
        </w:drawing>
      </w:r>
      <w:r w:rsidR="008756E6">
        <w:rPr>
          <w:noProof/>
        </w:rPr>
        <w:t xml:space="preserve">        </w:t>
      </w:r>
      <w:r w:rsidR="009F4035">
        <w:rPr>
          <w:rFonts w:ascii="Helvetica" w:hAnsi="Helvetica"/>
          <w:color w:val="000000"/>
          <w:sz w:val="21"/>
          <w:szCs w:val="21"/>
        </w:rPr>
        <w:t>I am Muhammad Umar Zafar Khan working on anaerobic bacteria with special interest of Clostridium perfirngens Microbial systematics. Phylogenomic. Comparative and functional (meta)genomics., application. Evolutionary biology and functional role of anaerobic bacteria. Management of animal -microbe system for sustainable gut health of poultry and livestock.</w:t>
      </w:r>
    </w:p>
    <w:p w14:paraId="20E4C1FF" w14:textId="2305439C" w:rsidR="00AE3E37" w:rsidRDefault="008756E6" w:rsidP="00404E5B">
      <w:pPr>
        <w:spacing w:before="92"/>
        <w:ind w:right="4234"/>
        <w:rPr>
          <w:rFonts w:ascii="Arial"/>
        </w:rPr>
      </w:pPr>
      <w:r>
        <w:rPr>
          <w:noProof/>
        </w:rPr>
        <w:t xml:space="preserve">      </w:t>
      </w:r>
    </w:p>
    <w:p w14:paraId="71AEBFE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8FC7925" wp14:editId="68C068D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AC91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804AA6D" w14:textId="77777777" w:rsidR="00AE3E37" w:rsidRDefault="00AE3E37">
      <w:pPr>
        <w:pStyle w:val="BodyText"/>
        <w:rPr>
          <w:rFonts w:ascii="Arial"/>
          <w:sz w:val="20"/>
        </w:rPr>
      </w:pPr>
    </w:p>
    <w:p w14:paraId="460B09B7" w14:textId="77777777" w:rsidR="00AE3E37" w:rsidRDefault="00AE3E37">
      <w:pPr>
        <w:pStyle w:val="BodyText"/>
        <w:rPr>
          <w:rFonts w:ascii="Arial"/>
          <w:sz w:val="20"/>
        </w:rPr>
      </w:pPr>
    </w:p>
    <w:p w14:paraId="30807D76" w14:textId="77777777" w:rsidR="00AE3E37" w:rsidRDefault="00AE3E37">
      <w:pPr>
        <w:pStyle w:val="BodyText"/>
        <w:spacing w:before="7"/>
        <w:rPr>
          <w:rFonts w:ascii="Arial"/>
          <w:sz w:val="29"/>
        </w:rPr>
      </w:pPr>
    </w:p>
    <w:p w14:paraId="2CE8F47C" w14:textId="5F9F0158" w:rsidR="00AE3E37" w:rsidRPr="00E72774" w:rsidRDefault="00E72774" w:rsidP="00E72774">
      <w:pPr>
        <w:spacing w:before="39"/>
        <w:ind w:left="100"/>
        <w:rPr>
          <w:rFonts w:ascii="Minion Pro"/>
          <w:b/>
          <w:sz w:val="20"/>
        </w:rPr>
        <w:sectPr w:rsidR="00AE3E37" w:rsidRPr="00E72774">
          <w:type w:val="continuous"/>
          <w:pgSz w:w="11910" w:h="16840"/>
          <w:pgMar w:top="1740" w:right="600" w:bottom="840" w:left="620" w:header="720" w:footer="720" w:gutter="0"/>
          <w:cols w:space="720"/>
        </w:sectPr>
      </w:pPr>
      <w:r>
        <w:rPr>
          <w:rFonts w:ascii="Minion Pro"/>
          <w:b/>
          <w:sz w:val="20"/>
        </w:rPr>
        <w:t xml:space="preserve">Recent Publicatrions </w:t>
      </w:r>
    </w:p>
    <w:p w14:paraId="78B19168" w14:textId="77777777" w:rsidR="00E72774" w:rsidRPr="00E72774" w:rsidRDefault="00E72774" w:rsidP="00E72774">
      <w:pPr>
        <w:pStyle w:val="BodyText"/>
        <w:spacing w:before="3"/>
        <w:rPr>
          <w:rFonts w:ascii="Minion Pro"/>
          <w:sz w:val="26"/>
        </w:rPr>
      </w:pPr>
      <w:r w:rsidRPr="00E72774">
        <w:rPr>
          <w:rFonts w:ascii="Minion Pro"/>
          <w:b/>
          <w:bCs/>
          <w:sz w:val="26"/>
        </w:rPr>
        <w:t>Muhammad Umar Zafar Khan</w:t>
      </w:r>
      <w:r w:rsidRPr="00E72774">
        <w:rPr>
          <w:rFonts w:ascii="Minion Pro"/>
          <w:sz w:val="26"/>
        </w:rPr>
        <w:t xml:space="preserve">, Baohong Liu, Shunli Yang, Yanhua Wang, Xiao Xu, </w:t>
      </w:r>
      <w:r w:rsidRPr="00E72774">
        <w:rPr>
          <w:rFonts w:ascii="Minion Pro"/>
          <w:b/>
          <w:bCs/>
          <w:sz w:val="26"/>
        </w:rPr>
        <w:t>Jianping Cai*</w:t>
      </w:r>
      <w:r w:rsidRPr="00E72774">
        <w:rPr>
          <w:rFonts w:ascii="Minion Pro"/>
          <w:sz w:val="26"/>
        </w:rPr>
        <w:t xml:space="preserve">.Molecular characterization of genetic diversity of Clostridium perfringens by PFGE typing of broiler chicken from China and Pakistan. (Submitted </w:t>
      </w:r>
      <w:r w:rsidRPr="00E72774">
        <w:rPr>
          <w:rFonts w:ascii="Minion Pro"/>
          <w:b/>
          <w:bCs/>
          <w:sz w:val="26"/>
        </w:rPr>
        <w:t>3.4 IF</w:t>
      </w:r>
      <w:r w:rsidRPr="00E72774">
        <w:rPr>
          <w:rFonts w:ascii="Minion Pro"/>
          <w:sz w:val="26"/>
        </w:rPr>
        <w:t>)</w:t>
      </w:r>
    </w:p>
    <w:p w14:paraId="4F243725" w14:textId="77777777" w:rsidR="00E72774" w:rsidRPr="00E72774" w:rsidRDefault="00E72774" w:rsidP="00E72774">
      <w:pPr>
        <w:pStyle w:val="BodyText"/>
        <w:spacing w:before="3"/>
        <w:rPr>
          <w:rFonts w:ascii="Minion Pro"/>
          <w:sz w:val="26"/>
        </w:rPr>
      </w:pPr>
      <w:r w:rsidRPr="00E72774">
        <w:rPr>
          <w:rFonts w:ascii="Minion Pro"/>
          <w:b/>
          <w:bCs/>
          <w:sz w:val="26"/>
        </w:rPr>
        <w:t>Muhammad Umar Zafar Khan</w:t>
      </w:r>
      <w:r w:rsidRPr="00E72774">
        <w:rPr>
          <w:rFonts w:ascii="Minion Pro"/>
          <w:sz w:val="26"/>
        </w:rPr>
        <w:t xml:space="preserve">, Shunli Yang, Yanhua Wang, Xiao Xu, and </w:t>
      </w:r>
      <w:r w:rsidRPr="00E72774">
        <w:rPr>
          <w:rFonts w:ascii="Minion Pro"/>
          <w:b/>
          <w:bCs/>
          <w:sz w:val="26"/>
        </w:rPr>
        <w:t xml:space="preserve">Jianping Cai* </w:t>
      </w:r>
      <w:r w:rsidRPr="00E72774">
        <w:rPr>
          <w:rFonts w:ascii="Minion Pro"/>
          <w:sz w:val="26"/>
        </w:rPr>
        <w:t xml:space="preserve">Biological Arsenals: Pore-forming toxins (PFTs) with special interests on </w:t>
      </w:r>
      <w:r w:rsidRPr="00E72774">
        <w:rPr>
          <w:rFonts w:ascii="Minion Pro"/>
          <w:i/>
          <w:iCs/>
          <w:sz w:val="26"/>
        </w:rPr>
        <w:t>Clostridium perfringens</w:t>
      </w:r>
      <w:r w:rsidRPr="00E72774">
        <w:rPr>
          <w:rFonts w:ascii="Minion Pro"/>
          <w:sz w:val="26"/>
        </w:rPr>
        <w:t xml:space="preserve"> toxins inducing host cell death  (Review article under Review </w:t>
      </w:r>
      <w:r w:rsidRPr="00E72774">
        <w:rPr>
          <w:rFonts w:ascii="Minion Pro"/>
          <w:b/>
          <w:bCs/>
          <w:sz w:val="26"/>
        </w:rPr>
        <w:t>3.8.IF)</w:t>
      </w:r>
    </w:p>
    <w:p w14:paraId="1552B5E2" w14:textId="09ABD558" w:rsidR="00E72774" w:rsidRPr="00E72774" w:rsidRDefault="00E72774" w:rsidP="00E72774">
      <w:pPr>
        <w:pStyle w:val="BodyText"/>
        <w:spacing w:before="3"/>
        <w:rPr>
          <w:rFonts w:ascii="Minion Pro"/>
          <w:sz w:val="26"/>
        </w:rPr>
      </w:pPr>
      <w:r w:rsidRPr="00E72774">
        <w:rPr>
          <w:rFonts w:ascii="Minion Pro"/>
          <w:b/>
          <w:bCs/>
          <w:sz w:val="26"/>
        </w:rPr>
        <w:t>Muhammad Umar Zafar Khan</w:t>
      </w:r>
      <w:r w:rsidRPr="00E72774">
        <w:rPr>
          <w:rFonts w:ascii="Minion Pro"/>
          <w:sz w:val="26"/>
        </w:rPr>
        <w:t xml:space="preserve">, Shunli Yang, Xiao Xu, and </w:t>
      </w:r>
      <w:r w:rsidRPr="00E72774">
        <w:rPr>
          <w:rFonts w:ascii="Minion Pro"/>
          <w:b/>
          <w:bCs/>
          <w:sz w:val="26"/>
        </w:rPr>
        <w:t xml:space="preserve">Jianping Cai* </w:t>
      </w:r>
      <w:r w:rsidRPr="00E72774">
        <w:rPr>
          <w:rFonts w:ascii="Minion Pro"/>
          <w:sz w:val="26"/>
        </w:rPr>
        <w:t xml:space="preserve">First Evidence of Molecular &amp; Phylogenetic linkage of </w:t>
      </w:r>
      <w:r w:rsidRPr="00E72774">
        <w:rPr>
          <w:rFonts w:ascii="Minion Pro"/>
          <w:i/>
          <w:iCs/>
          <w:sz w:val="26"/>
        </w:rPr>
        <w:t xml:space="preserve">Clostridium perfringens </w:t>
      </w:r>
      <w:r w:rsidRPr="00E72774">
        <w:rPr>
          <w:rFonts w:ascii="Minion Pro"/>
          <w:sz w:val="26"/>
        </w:rPr>
        <w:t xml:space="preserve">type D virulence and association between beta-2 and etx toxin in buffalo of Punjab province </w:t>
      </w:r>
      <w:r w:rsidR="00F91EC2" w:rsidRPr="00E72774">
        <w:rPr>
          <w:rFonts w:ascii="Minion Pro"/>
          <w:sz w:val="26"/>
        </w:rPr>
        <w:t>Pakistan (</w:t>
      </w:r>
      <w:r w:rsidRPr="00E72774">
        <w:rPr>
          <w:rFonts w:ascii="Minion Pro"/>
          <w:b/>
          <w:bCs/>
          <w:sz w:val="26"/>
        </w:rPr>
        <w:t>S</w:t>
      </w:r>
      <w:bookmarkStart w:id="0" w:name="_GoBack"/>
      <w:bookmarkEnd w:id="0"/>
      <w:r w:rsidRPr="00E72774">
        <w:rPr>
          <w:rFonts w:ascii="Minion Pro"/>
          <w:b/>
          <w:bCs/>
          <w:sz w:val="26"/>
        </w:rPr>
        <w:t>ubmitted 4.1 IF)</w:t>
      </w:r>
    </w:p>
    <w:p w14:paraId="7FF80EB0"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27E284" w14:textId="77777777" w:rsidR="000426B2" w:rsidRDefault="000426B2">
      <w:r>
        <w:separator/>
      </w:r>
    </w:p>
  </w:endnote>
  <w:endnote w:type="continuationSeparator" w:id="0">
    <w:p w14:paraId="733B8ABC" w14:textId="77777777" w:rsidR="000426B2" w:rsidRDefault="00042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Introduction: how has the molec">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82F17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5F8A077" wp14:editId="4E30B8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B73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BD939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F8A07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79B73F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1BD939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E237E23" wp14:editId="72AAEA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CDEC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FA53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37E2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5CCDEC9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FA53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20309EC" wp14:editId="69A0606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5E3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DDB36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309E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41B5E34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DDB36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2D9385" w14:textId="77777777" w:rsidR="000426B2" w:rsidRDefault="000426B2">
      <w:r>
        <w:separator/>
      </w:r>
    </w:p>
  </w:footnote>
  <w:footnote w:type="continuationSeparator" w:id="0">
    <w:p w14:paraId="77298F2C" w14:textId="77777777" w:rsidR="000426B2" w:rsidRDefault="000426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B7B3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163EA1F" wp14:editId="1119750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F15B3" w14:textId="3CB2229A"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63EA1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89F15B3" w14:textId="3CB2229A"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8ABC8F1" wp14:editId="114883E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5B6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1CD4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BC8F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00B5B63C"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1CD4F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WyNDM0NDAxszAztjBX0lEKTi0uzszPAykwrAUASXBcaCwAAAA="/>
  </w:docVars>
  <w:rsids>
    <w:rsidRoot w:val="00AE3E37"/>
    <w:rsid w:val="000426B2"/>
    <w:rsid w:val="000E2911"/>
    <w:rsid w:val="001263DF"/>
    <w:rsid w:val="00292ED9"/>
    <w:rsid w:val="002B5B94"/>
    <w:rsid w:val="00404E5B"/>
    <w:rsid w:val="00414F7B"/>
    <w:rsid w:val="004355DC"/>
    <w:rsid w:val="004749B4"/>
    <w:rsid w:val="00494130"/>
    <w:rsid w:val="004F3523"/>
    <w:rsid w:val="005973B9"/>
    <w:rsid w:val="005B3A56"/>
    <w:rsid w:val="006060CE"/>
    <w:rsid w:val="0063497F"/>
    <w:rsid w:val="006420D0"/>
    <w:rsid w:val="00724C6E"/>
    <w:rsid w:val="00780A6D"/>
    <w:rsid w:val="007910F6"/>
    <w:rsid w:val="00873DF0"/>
    <w:rsid w:val="008756E6"/>
    <w:rsid w:val="0088020A"/>
    <w:rsid w:val="009B2D44"/>
    <w:rsid w:val="009F4035"/>
    <w:rsid w:val="00A07E82"/>
    <w:rsid w:val="00A9710C"/>
    <w:rsid w:val="00AE3E37"/>
    <w:rsid w:val="00B21A57"/>
    <w:rsid w:val="00C33602"/>
    <w:rsid w:val="00CD6F55"/>
    <w:rsid w:val="00D307F1"/>
    <w:rsid w:val="00DE3104"/>
    <w:rsid w:val="00E72774"/>
    <w:rsid w:val="00F72EEA"/>
    <w:rsid w:val="00F84CAE"/>
    <w:rsid w:val="00F91E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31E6C"/>
  <w15:docId w15:val="{9F0C0B0D-40DA-4FB4-8C81-E8AEBFA1E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59439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Umar Zafar</cp:lastModifiedBy>
  <cp:revision>4</cp:revision>
  <dcterms:created xsi:type="dcterms:W3CDTF">2018-05-11T09:51:00Z</dcterms:created>
  <dcterms:modified xsi:type="dcterms:W3CDTF">2020-02-04T13:41:00Z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