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E89" w:rsidRDefault="00B00E89" w:rsidP="00B00E89">
      <w:pPr>
        <w:rPr>
          <w:rFonts w:hint="cs"/>
          <w:b/>
          <w:bCs/>
          <w:rtl/>
        </w:rPr>
      </w:pPr>
    </w:p>
    <w:p w:rsidR="00B00E89" w:rsidRPr="00B00E89" w:rsidRDefault="00B00E89" w:rsidP="00B00E89">
      <w:pPr>
        <w:bidi w:val="0"/>
        <w:spacing w:after="0" w:line="240" w:lineRule="auto"/>
        <w:rPr>
          <w:rFonts w:asciiTheme="majorBidi" w:eastAsia="SimSun" w:hAnsiTheme="majorBidi" w:cstheme="majorBidi"/>
          <w:b/>
          <w:bCs/>
          <w:sz w:val="28"/>
          <w:szCs w:val="28"/>
          <w:lang w:eastAsia="en-GB" w:bidi="en-GB"/>
        </w:rPr>
      </w:pPr>
      <w:r w:rsidRPr="00B00E89">
        <w:rPr>
          <w:rFonts w:asciiTheme="majorBidi" w:eastAsia="SimSun" w:hAnsiTheme="majorBidi" w:cstheme="majorBidi"/>
          <w:b/>
          <w:bCs/>
          <w:sz w:val="28"/>
          <w:szCs w:val="28"/>
          <w:lang w:eastAsia="en-GB" w:bidi="en-GB"/>
        </w:rPr>
        <w:t xml:space="preserve">Multi-drug resistance of MRSA isolated strains from  healthcare, community  and the distribution of </w:t>
      </w:r>
      <w:proofErr w:type="spellStart"/>
      <w:r w:rsidRPr="00B00E89">
        <w:rPr>
          <w:rFonts w:asciiTheme="majorBidi" w:eastAsia="SimSun" w:hAnsiTheme="majorBidi" w:cstheme="majorBidi"/>
          <w:b/>
          <w:bCs/>
          <w:sz w:val="28"/>
          <w:szCs w:val="28"/>
          <w:lang w:eastAsia="en-GB" w:bidi="en-GB"/>
        </w:rPr>
        <w:t>fusidic</w:t>
      </w:r>
      <w:proofErr w:type="spellEnd"/>
      <w:r w:rsidRPr="00B00E89">
        <w:rPr>
          <w:rFonts w:asciiTheme="majorBidi" w:eastAsia="SimSun" w:hAnsiTheme="majorBidi" w:cstheme="majorBidi"/>
          <w:b/>
          <w:bCs/>
          <w:sz w:val="28"/>
          <w:szCs w:val="28"/>
          <w:lang w:eastAsia="en-GB" w:bidi="en-GB"/>
        </w:rPr>
        <w:t xml:space="preserve"> acid MIC and zone of inhibition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240" w:lineRule="auto"/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</w:pPr>
      <w:proofErr w:type="spellStart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>Wareg</w:t>
      </w:r>
      <w:proofErr w:type="spellEnd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 xml:space="preserve"> S E ¹, ², </w:t>
      </w:r>
      <w:proofErr w:type="spellStart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>Daw</w:t>
      </w:r>
      <w:proofErr w:type="spellEnd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 xml:space="preserve"> M A², ALAZABI A , </w:t>
      </w:r>
      <w:proofErr w:type="spellStart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>Abushahma,M.S</w:t>
      </w:r>
      <w:proofErr w:type="spellEnd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 xml:space="preserve">, </w:t>
      </w:r>
      <w:proofErr w:type="spellStart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>Agnan</w:t>
      </w:r>
      <w:proofErr w:type="spellEnd"/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 xml:space="preserve"> M.M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240" w:lineRule="auto"/>
        <w:rPr>
          <w:rFonts w:asciiTheme="majorBidi" w:eastAsia="DejaVu Sans" w:hAnsiTheme="majorBidi" w:cstheme="majorBidi"/>
          <w:sz w:val="24"/>
          <w:szCs w:val="24"/>
          <w:lang w:eastAsia="en-GB" w:bidi="en-GB"/>
        </w:rPr>
      </w:pP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vertAlign w:val="superscript"/>
          <w:lang w:eastAsia="en-GB" w:bidi="en-GB"/>
        </w:rPr>
        <w:t>a</w:t>
      </w:r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>Department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 xml:space="preserve"> of Medical  Microbiology, Faculty of Medicine, University of Tripoli,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240" w:lineRule="auto"/>
        <w:rPr>
          <w:rFonts w:asciiTheme="majorBidi" w:eastAsia="DejaVu Sans" w:hAnsiTheme="majorBidi" w:cstheme="majorBidi"/>
          <w:sz w:val="24"/>
          <w:szCs w:val="24"/>
          <w:lang w:eastAsia="en-GB" w:bidi="en-GB"/>
        </w:rPr>
      </w:pPr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 xml:space="preserve">Libya/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vertAlign w:val="superscript"/>
          <w:lang w:eastAsia="en-GB" w:bidi="en-GB"/>
        </w:rPr>
        <w:t>b</w:t>
      </w:r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>Faculty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 xml:space="preserve"> of Medical Technology, University of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>Nalut</w:t>
      </w:r>
      <w:proofErr w:type="spellEnd"/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240" w:lineRule="auto"/>
        <w:rPr>
          <w:rFonts w:asciiTheme="majorBidi" w:eastAsia="DejaVu Sans" w:hAnsiTheme="majorBidi" w:cstheme="majorBidi"/>
          <w:sz w:val="24"/>
          <w:szCs w:val="24"/>
          <w:lang w:eastAsia="en-GB" w:bidi="en-GB"/>
        </w:rPr>
      </w:pP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vertAlign w:val="superscript"/>
          <w:lang w:eastAsia="en-GB" w:bidi="en-GB"/>
        </w:rPr>
        <w:t>c</w:t>
      </w:r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>Technology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 xml:space="preserve">  College,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eastAsia="en-GB" w:bidi="en-GB"/>
        </w:rPr>
        <w:t>Misurata</w:t>
      </w:r>
      <w:proofErr w:type="spellEnd"/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240" w:lineRule="auto"/>
        <w:rPr>
          <w:rFonts w:asciiTheme="majorBidi" w:eastAsia="DejaVu Sans" w:hAnsiTheme="majorBidi" w:cstheme="majorBidi"/>
          <w:b/>
          <w:bCs/>
          <w:sz w:val="24"/>
          <w:szCs w:val="26"/>
          <w:lang w:eastAsia="en-GB" w:bidi="en-GB"/>
        </w:rPr>
      </w:pPr>
      <w:r w:rsidRPr="00B00E89">
        <w:rPr>
          <w:rFonts w:asciiTheme="majorBidi" w:eastAsia="DejaVu Sans" w:hAnsiTheme="majorBidi" w:cstheme="majorBidi"/>
          <w:b/>
          <w:bCs/>
          <w:sz w:val="24"/>
          <w:szCs w:val="26"/>
          <w:lang w:eastAsia="en-GB" w:bidi="en-GB"/>
        </w:rPr>
        <w:t xml:space="preserve">ӿCorresponding author: Dr. Said E </w:t>
      </w:r>
      <w:proofErr w:type="spellStart"/>
      <w:r w:rsidRPr="00B00E89">
        <w:rPr>
          <w:rFonts w:asciiTheme="majorBidi" w:eastAsia="DejaVu Sans" w:hAnsiTheme="majorBidi" w:cstheme="majorBidi"/>
          <w:b/>
          <w:bCs/>
          <w:sz w:val="24"/>
          <w:szCs w:val="26"/>
          <w:lang w:eastAsia="en-GB" w:bidi="en-GB"/>
        </w:rPr>
        <w:t>Wareg</w:t>
      </w:r>
      <w:proofErr w:type="spellEnd"/>
      <w:r w:rsidRPr="00B00E89">
        <w:rPr>
          <w:rFonts w:asciiTheme="majorBidi" w:eastAsia="DejaVu Sans" w:hAnsiTheme="majorBidi" w:cstheme="majorBidi"/>
          <w:b/>
          <w:bCs/>
          <w:sz w:val="24"/>
          <w:szCs w:val="26"/>
          <w:lang w:eastAsia="en-GB" w:bidi="en-GB"/>
        </w:rPr>
        <w:t>: s_warrag@yahoo.com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240" w:lineRule="auto"/>
        <w:jc w:val="both"/>
        <w:rPr>
          <w:rFonts w:ascii="Calibri" w:eastAsia="DejaVu Sans" w:hAnsi="Calibri" w:cs="DejaVu Sans"/>
          <w:b/>
          <w:bCs/>
          <w:sz w:val="28"/>
          <w:szCs w:val="28"/>
          <w:lang w:eastAsia="en-GB" w:bidi="en-GB"/>
        </w:rPr>
      </w:pP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360" w:lineRule="auto"/>
        <w:jc w:val="both"/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</w:pP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>Abstract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360" w:lineRule="auto"/>
        <w:jc w:val="both"/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</w:pP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The evolution of resistance to antibiotics is one of the most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significant problems in Modern medicine, posing serious threats to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human and animal health. Multidrug-resistant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organisms(MDRO,S), including MRSA, vancomycin-resistant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Enterococci (VRE)and certain Gram-negative bacilli  have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important infection control complications. From a previous study, an agar susceptibility testing was used  to test all isolates against  vancomycin, chloramphenicol, gentamicin,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fusidic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acid, erythromycin, streptomycin, Ciprofloxacin, cefotaxime and clindamycin. 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360" w:lineRule="auto"/>
        <w:jc w:val="both"/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</w:pP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MRSA was detected using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cefoxitin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(30µg) disc and antibiotic susceptibility pattern was determined using the Kirby and Bauer disc diffusion susceptibility testing method and confirmed for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fusidic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acid and vancomycin by determination of minimum inhibitory concentration. The isolated MRSA strains showed multiple drug  resistance pattern as 42% for IPHA-MRSA, 34% for OPHA-MRSA and 23% for   CC-MRSA. The distribution of strains of IPHA, OPHA and CC-MRSA compared with the MIC and zone size of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fusidic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acid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showed that the highest number of isolates were distributed about the highest</w:t>
      </w: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 xml:space="preserve"> 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MIC values for IPHA-MRSA(16 , 8 , 4mg/L) ,OPH-MRSA (8, 4,2mg/L) and CC-MRSA(8,4mg/L). These results showed high multi-drug resistance for all MRSA isolated strains ( Fig.1, Fig.2, Fig.3). Interpretative zone of inhibition for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fusidic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acid and vancomycin was based on the British Society for Antimicrobial Chemotherapy</w:t>
      </w:r>
      <w:r w:rsidR="00F8653A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</w:t>
      </w:r>
      <w:bookmarkStart w:id="0" w:name="_GoBack"/>
      <w:bookmarkEnd w:id="0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(BSAC) (Anon-2010/2013) guidelines.  Standard international interpretation criteria for zone size for </w:t>
      </w:r>
      <w:proofErr w:type="spellStart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>fusidic</w:t>
      </w:r>
      <w:proofErr w:type="spellEnd"/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acid should be addressed.</w:t>
      </w:r>
    </w:p>
    <w:p w:rsidR="00B00E89" w:rsidRDefault="00B00E89" w:rsidP="00B00E89">
      <w:pPr>
        <w:widowControl w:val="0"/>
        <w:autoSpaceDE w:val="0"/>
        <w:autoSpaceDN w:val="0"/>
        <w:bidi w:val="0"/>
        <w:spacing w:after="0" w:line="360" w:lineRule="auto"/>
        <w:jc w:val="both"/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</w:pP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360" w:lineRule="auto"/>
        <w:jc w:val="both"/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</w:pPr>
      <w:r w:rsidRPr="00B00E89">
        <w:rPr>
          <w:rFonts w:asciiTheme="majorBidi" w:eastAsia="DejaVu Sans" w:hAnsiTheme="majorBidi" w:cstheme="majorBidi"/>
          <w:b/>
          <w:bCs/>
          <w:sz w:val="24"/>
          <w:szCs w:val="24"/>
          <w:lang w:val="en-GB" w:eastAsia="en-GB" w:bidi="en-GB"/>
        </w:rPr>
        <w:t>Key: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MRSA: Methicillin-Resistant </w:t>
      </w:r>
      <w:r w:rsidRPr="00B00E89">
        <w:rPr>
          <w:rFonts w:asciiTheme="majorBidi" w:eastAsia="DejaVu Sans" w:hAnsiTheme="majorBidi" w:cstheme="majorBidi"/>
          <w:i/>
          <w:iCs/>
          <w:sz w:val="24"/>
          <w:szCs w:val="24"/>
          <w:lang w:val="en-GB" w:eastAsia="en-GB" w:bidi="en-GB"/>
        </w:rPr>
        <w:t>S. aureus</w:t>
      </w:r>
      <w:r w:rsidRPr="00B00E89"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  <w:t xml:space="preserve"> ,IPHA-MRSA: In-patient health associated MRSA: OPHA-MRSA: Out-patient health associated MRSA; CC-MRSA: Community carried MRSA</w:t>
      </w:r>
    </w:p>
    <w:p w:rsidR="00B00E89" w:rsidRPr="00B00E89" w:rsidRDefault="00B00E89" w:rsidP="00B00E89">
      <w:pPr>
        <w:widowControl w:val="0"/>
        <w:autoSpaceDE w:val="0"/>
        <w:autoSpaceDN w:val="0"/>
        <w:bidi w:val="0"/>
        <w:spacing w:after="0" w:line="360" w:lineRule="auto"/>
        <w:jc w:val="both"/>
        <w:rPr>
          <w:rFonts w:asciiTheme="majorBidi" w:eastAsia="DejaVu Sans" w:hAnsiTheme="majorBidi" w:cstheme="majorBidi"/>
          <w:sz w:val="24"/>
          <w:szCs w:val="24"/>
          <w:lang w:val="en-GB" w:eastAsia="en-GB" w:bidi="en-GB"/>
        </w:rPr>
      </w:pPr>
    </w:p>
    <w:sectPr w:rsidR="00B00E89" w:rsidRPr="00B00E89" w:rsidSect="0066573B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F9"/>
    <w:rsid w:val="00134EF9"/>
    <w:rsid w:val="00166727"/>
    <w:rsid w:val="004B54D2"/>
    <w:rsid w:val="0066573B"/>
    <w:rsid w:val="008E0EBD"/>
    <w:rsid w:val="00B00E89"/>
    <w:rsid w:val="00D235A7"/>
    <w:rsid w:val="00F04600"/>
    <w:rsid w:val="00F8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cp:lastPrinted>2019-12-18T07:42:00Z</cp:lastPrinted>
  <dcterms:created xsi:type="dcterms:W3CDTF">2019-12-18T07:37:00Z</dcterms:created>
  <dcterms:modified xsi:type="dcterms:W3CDTF">2019-12-18T11:17:00Z</dcterms:modified>
</cp:coreProperties>
</file>