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7EB" w:rsidRPr="009007EB" w:rsidRDefault="009007EB" w:rsidP="009007EB">
      <w:pPr>
        <w:pStyle w:val="Heading1"/>
        <w:spacing w:line="360" w:lineRule="auto"/>
        <w:jc w:val="both"/>
        <w:rPr>
          <w:color w:val="548DD4" w:themeColor="text2" w:themeTint="99"/>
          <w:sz w:val="28"/>
          <w:szCs w:val="28"/>
          <w:lang w:bidi="bn-BD"/>
        </w:rPr>
      </w:pPr>
      <w:r w:rsidRPr="009007EB">
        <w:rPr>
          <w:color w:val="548DD4" w:themeColor="text2" w:themeTint="99"/>
          <w:sz w:val="28"/>
          <w:szCs w:val="28"/>
          <w:cs/>
          <w:lang w:bidi="bn-BD"/>
        </w:rPr>
        <w:t>Prescription Pattern of Surgical Antibiotic Prophylaxis in a Tertiary Care Hospital in Bangladesh</w:t>
      </w:r>
    </w:p>
    <w:p w:rsidR="00AE3E37" w:rsidRPr="009007EB" w:rsidRDefault="009007EB">
      <w:pPr>
        <w:pStyle w:val="BodyText"/>
        <w:spacing w:before="3"/>
        <w:rPr>
          <w:rFonts w:ascii="Times New Roman" w:hAnsi="Times New Roman" w:cs="Times New Roman"/>
          <w:sz w:val="24"/>
          <w:szCs w:val="24"/>
        </w:rPr>
      </w:pPr>
      <w:proofErr w:type="spellStart"/>
      <w:r w:rsidRPr="009007EB">
        <w:rPr>
          <w:rStyle w:val="Strong"/>
          <w:rFonts w:ascii="Times New Roman" w:hAnsi="Times New Roman" w:cs="Times New Roman"/>
          <w:sz w:val="24"/>
          <w:szCs w:val="24"/>
        </w:rPr>
        <w:t>Baqui</w:t>
      </w:r>
      <w:proofErr w:type="spellEnd"/>
      <w:r w:rsidRPr="009007EB">
        <w:rPr>
          <w:rStyle w:val="Strong"/>
          <w:rFonts w:ascii="Times New Roman" w:hAnsi="Times New Roman" w:cs="Times New Roman"/>
          <w:sz w:val="24"/>
          <w:szCs w:val="24"/>
        </w:rPr>
        <w:t xml:space="preserve"> QBOF</w:t>
      </w:r>
      <w:hyperlink r:id="rId7" w:anchor="ins1" w:history="1">
        <w:r w:rsidRPr="009007EB">
          <w:rPr>
            <w:rStyle w:val="Hyperlink"/>
            <w:rFonts w:ascii="Times New Roman" w:hAnsi="Times New Roman" w:cs="Times New Roman"/>
            <w:sz w:val="24"/>
            <w:szCs w:val="24"/>
            <w:vertAlign w:val="superscript"/>
          </w:rPr>
          <w:t>1</w:t>
        </w:r>
      </w:hyperlink>
      <w:r w:rsidRPr="009007EB">
        <w:rPr>
          <w:rFonts w:ascii="Times New Roman" w:hAnsi="Times New Roman" w:cs="Times New Roman"/>
          <w:sz w:val="24"/>
          <w:szCs w:val="24"/>
          <w:vertAlign w:val="superscript"/>
        </w:rPr>
        <w:t>*</w:t>
      </w:r>
      <w:r w:rsidRPr="009007EB">
        <w:rPr>
          <w:rStyle w:val="Strong"/>
          <w:rFonts w:ascii="Times New Roman" w:hAnsi="Times New Roman" w:cs="Times New Roman"/>
          <w:sz w:val="24"/>
          <w:szCs w:val="24"/>
        </w:rPr>
        <w:t xml:space="preserve">, </w:t>
      </w:r>
      <w:proofErr w:type="spellStart"/>
      <w:r w:rsidRPr="009007EB">
        <w:rPr>
          <w:rStyle w:val="Strong"/>
          <w:rFonts w:ascii="Times New Roman" w:hAnsi="Times New Roman" w:cs="Times New Roman"/>
          <w:sz w:val="24"/>
          <w:szCs w:val="24"/>
        </w:rPr>
        <w:t>Johora</w:t>
      </w:r>
      <w:proofErr w:type="spellEnd"/>
      <w:r w:rsidR="007846E1">
        <w:rPr>
          <w:rStyle w:val="Strong"/>
          <w:rFonts w:ascii="Times New Roman" w:hAnsi="Times New Roman" w:cs="Times New Roman"/>
          <w:sz w:val="24"/>
          <w:szCs w:val="24"/>
        </w:rPr>
        <w:t xml:space="preserve"> </w:t>
      </w:r>
      <w:r w:rsidRPr="009007EB">
        <w:rPr>
          <w:rStyle w:val="Strong"/>
          <w:rFonts w:ascii="Times New Roman" w:hAnsi="Times New Roman" w:cs="Times New Roman"/>
          <w:sz w:val="24"/>
          <w:szCs w:val="24"/>
        </w:rPr>
        <w:t>F</w:t>
      </w:r>
      <w:hyperlink r:id="rId8" w:anchor="ins2" w:history="1">
        <w:r w:rsidRPr="009007EB">
          <w:rPr>
            <w:rStyle w:val="Hyperlink"/>
            <w:rFonts w:ascii="Times New Roman" w:hAnsi="Times New Roman" w:cs="Times New Roman"/>
            <w:sz w:val="24"/>
            <w:szCs w:val="24"/>
            <w:vertAlign w:val="superscript"/>
          </w:rPr>
          <w:t>2</w:t>
        </w:r>
      </w:hyperlink>
      <w:proofErr w:type="gramStart"/>
      <w:r w:rsidRPr="009007EB">
        <w:rPr>
          <w:rFonts w:ascii="Times New Roman" w:hAnsi="Times New Roman" w:cs="Times New Roman"/>
          <w:sz w:val="24"/>
          <w:szCs w:val="24"/>
        </w:rPr>
        <w:t>,</w:t>
      </w:r>
      <w:r w:rsidRPr="009007EB">
        <w:rPr>
          <w:rStyle w:val="Strong"/>
          <w:rFonts w:ascii="Times New Roman" w:hAnsi="Times New Roman" w:cs="Times New Roman"/>
          <w:sz w:val="24"/>
          <w:szCs w:val="24"/>
        </w:rPr>
        <w:t>A</w:t>
      </w:r>
      <w:r w:rsidRPr="009007EB">
        <w:rPr>
          <w:rStyle w:val="Strong"/>
          <w:rFonts w:ascii="Times New Roman" w:hAnsi="Times New Roman" w:cs="Times New Roman"/>
          <w:sz w:val="24"/>
          <w:szCs w:val="24"/>
          <w:cs/>
          <w:lang w:bidi="bn-BD"/>
        </w:rPr>
        <w:t>li</w:t>
      </w:r>
      <w:proofErr w:type="gramEnd"/>
      <w:r w:rsidR="007846E1">
        <w:rPr>
          <w:rStyle w:val="Strong"/>
          <w:rFonts w:ascii="Times New Roman" w:hAnsi="Times New Roman" w:cs="Times New Roman"/>
          <w:sz w:val="24"/>
          <w:szCs w:val="24"/>
          <w:cs/>
          <w:lang w:bidi="bn-BD"/>
        </w:rPr>
        <w:t xml:space="preserve"> </w:t>
      </w:r>
      <w:r w:rsidRPr="009007EB">
        <w:rPr>
          <w:rStyle w:val="Strong"/>
          <w:rFonts w:ascii="Times New Roman" w:hAnsi="Times New Roman" w:cs="Times New Roman"/>
          <w:sz w:val="24"/>
          <w:szCs w:val="24"/>
          <w:cs/>
          <w:lang w:bidi="bn-BD"/>
        </w:rPr>
        <w:t>M</w:t>
      </w:r>
      <w:r w:rsidRPr="009007EB">
        <w:rPr>
          <w:rFonts w:ascii="Times New Roman" w:hAnsi="Times New Roman" w:cs="Times New Roman"/>
          <w:b/>
          <w:color w:val="4F81BD" w:themeColor="accent1"/>
          <w:sz w:val="24"/>
          <w:szCs w:val="24"/>
          <w:vertAlign w:val="superscript"/>
        </w:rPr>
        <w:t>3</w:t>
      </w:r>
      <w:r w:rsidRPr="009007EB">
        <w:rPr>
          <w:rFonts w:ascii="Times New Roman" w:hAnsi="Times New Roman" w:cs="Times New Roman"/>
          <w:b/>
          <w:sz w:val="24"/>
          <w:szCs w:val="24"/>
        </w:rPr>
        <w:t>, Begum HA</w:t>
      </w:r>
      <w:r w:rsidRPr="009007EB">
        <w:rPr>
          <w:rFonts w:ascii="Times New Roman" w:hAnsi="Times New Roman" w:cs="Times New Roman"/>
          <w:b/>
          <w:color w:val="4F81BD" w:themeColor="accent1"/>
          <w:sz w:val="24"/>
          <w:szCs w:val="24"/>
          <w:vertAlign w:val="superscript"/>
        </w:rPr>
        <w:t>4</w:t>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062D59" w:rsidRPr="009007EB" w:rsidRDefault="00A9710C" w:rsidP="009007EB">
      <w:pPr>
        <w:pStyle w:val="Heading3"/>
        <w:spacing w:before="147"/>
        <w:jc w:val="both"/>
        <w:rPr>
          <w:color w:val="BF5A14"/>
        </w:rPr>
      </w:pPr>
      <w:r>
        <w:rPr>
          <w:color w:val="BF5A14"/>
        </w:rPr>
        <w:lastRenderedPageBreak/>
        <w:t>Abstract</w:t>
      </w:r>
    </w:p>
    <w:p w:rsidR="009007EB" w:rsidRPr="004E567A" w:rsidRDefault="009007EB" w:rsidP="009007EB">
      <w:pPr>
        <w:pStyle w:val="NormalWeb"/>
        <w:jc w:val="both"/>
        <w:rPr>
          <w:sz w:val="18"/>
          <w:szCs w:val="18"/>
          <w:lang w:bidi="bn-BD"/>
        </w:rPr>
      </w:pPr>
      <w:r w:rsidRPr="004E567A">
        <w:rPr>
          <w:b/>
          <w:bCs/>
          <w:sz w:val="18"/>
          <w:szCs w:val="18"/>
          <w:cs/>
          <w:lang w:bidi="bn-BD"/>
        </w:rPr>
        <w:t>Statement of the problem:</w:t>
      </w:r>
      <w:r w:rsidRPr="004E567A">
        <w:rPr>
          <w:sz w:val="18"/>
          <w:szCs w:val="18"/>
          <w:cs/>
          <w:lang w:bidi="bn-BD"/>
        </w:rPr>
        <w:t xml:space="preserve"> Surgical antibiotic prophylaxis has become an integral part of standard surgical practice to prevent infections at the surgical site and thus enhance postoperative recovery. Like other cases, misuse and overuse of antibiotic is quite common in surgical prophylaxis, causing increase expenditure of treatment as well as antimicrobial resistance. T</w:t>
      </w:r>
      <w:r w:rsidRPr="004E567A">
        <w:rPr>
          <w:sz w:val="18"/>
          <w:szCs w:val="18"/>
        </w:rPr>
        <w:t xml:space="preserve">here is no data on patterns </w:t>
      </w:r>
      <w:r w:rsidRPr="004E567A">
        <w:rPr>
          <w:sz w:val="18"/>
          <w:szCs w:val="18"/>
          <w:cs/>
          <w:lang w:bidi="bn-BD"/>
        </w:rPr>
        <w:t>of antibiotic use in surgical prophylaxis in Bangladesh.</w:t>
      </w:r>
    </w:p>
    <w:p w:rsidR="009007EB" w:rsidRPr="004E567A" w:rsidRDefault="009007EB" w:rsidP="009007EB">
      <w:pPr>
        <w:pStyle w:val="NormalWeb"/>
        <w:jc w:val="both"/>
        <w:rPr>
          <w:sz w:val="18"/>
          <w:szCs w:val="18"/>
          <w:lang w:bidi="bn-BD"/>
        </w:rPr>
      </w:pPr>
      <w:r w:rsidRPr="004E567A">
        <w:rPr>
          <w:b/>
          <w:bCs/>
          <w:sz w:val="18"/>
          <w:szCs w:val="18"/>
          <w:cs/>
          <w:lang w:bidi="bn-BD"/>
        </w:rPr>
        <w:t>Purpose of this study:</w:t>
      </w:r>
      <w:r w:rsidRPr="004E567A">
        <w:rPr>
          <w:sz w:val="18"/>
          <w:szCs w:val="18"/>
          <w:cs/>
          <w:lang w:bidi="bn-BD"/>
        </w:rPr>
        <w:t>T</w:t>
      </w:r>
      <w:r w:rsidRPr="004E567A">
        <w:rPr>
          <w:sz w:val="18"/>
          <w:szCs w:val="18"/>
        </w:rPr>
        <w:t xml:space="preserve">he </w:t>
      </w:r>
      <w:r w:rsidRPr="004E567A">
        <w:rPr>
          <w:sz w:val="18"/>
          <w:szCs w:val="18"/>
          <w:cs/>
          <w:lang w:bidi="bn-BD"/>
        </w:rPr>
        <w:t xml:space="preserve">objective of the </w:t>
      </w:r>
      <w:r w:rsidRPr="004E567A">
        <w:rPr>
          <w:sz w:val="18"/>
          <w:szCs w:val="18"/>
        </w:rPr>
        <w:t xml:space="preserve">present study was to find out the </w:t>
      </w:r>
      <w:r w:rsidRPr="004E567A">
        <w:rPr>
          <w:sz w:val="18"/>
          <w:szCs w:val="18"/>
          <w:cs/>
          <w:lang w:bidi="bn-BD"/>
        </w:rPr>
        <w:t xml:space="preserve">prescription </w:t>
      </w:r>
      <w:r w:rsidRPr="004E567A">
        <w:rPr>
          <w:sz w:val="18"/>
          <w:szCs w:val="18"/>
        </w:rPr>
        <w:t>p</w:t>
      </w:r>
      <w:r w:rsidRPr="004E567A">
        <w:rPr>
          <w:sz w:val="18"/>
          <w:szCs w:val="18"/>
          <w:cs/>
          <w:lang w:bidi="bn-BD"/>
        </w:rPr>
        <w:t>attern of prophylactic antibiotics in different surgeries in a tertiary care hopital of private setting in Bangladesh.</w:t>
      </w:r>
    </w:p>
    <w:p w:rsidR="009007EB" w:rsidRPr="004E567A" w:rsidRDefault="009007EB" w:rsidP="009007EB">
      <w:pPr>
        <w:pStyle w:val="NormalWeb"/>
        <w:jc w:val="both"/>
        <w:rPr>
          <w:sz w:val="18"/>
          <w:szCs w:val="18"/>
          <w:lang w:bidi="bn-BD"/>
        </w:rPr>
      </w:pPr>
      <w:r w:rsidRPr="004E567A">
        <w:rPr>
          <w:b/>
          <w:bCs/>
          <w:sz w:val="18"/>
          <w:szCs w:val="18"/>
          <w:cs/>
          <w:lang w:bidi="bn-BD"/>
        </w:rPr>
        <w:t>Methodology &amp; Theoretical Orientation:</w:t>
      </w:r>
      <w:r w:rsidRPr="004E567A">
        <w:rPr>
          <w:sz w:val="18"/>
          <w:szCs w:val="18"/>
          <w:cs/>
          <w:lang w:bidi="bn-BD"/>
        </w:rPr>
        <w:t xml:space="preserve"> A</w:t>
      </w:r>
      <w:r w:rsidR="003C63EB">
        <w:rPr>
          <w:sz w:val="18"/>
          <w:szCs w:val="18"/>
          <w:cs/>
          <w:lang w:bidi="bn-BD"/>
        </w:rPr>
        <w:t xml:space="preserve"> </w:t>
      </w:r>
      <w:r w:rsidRPr="004E567A">
        <w:rPr>
          <w:sz w:val="18"/>
          <w:szCs w:val="18"/>
          <w:cs/>
          <w:lang w:bidi="bn-BD"/>
        </w:rPr>
        <w:t>prospective observational study was conducted among 600 patients undergoing different surgeries in a tertiary care hospital of private setting in Dhaka, Bangladesh from November 2017 to April 2018.</w:t>
      </w:r>
      <w:r w:rsidRPr="004E567A">
        <w:rPr>
          <w:sz w:val="18"/>
          <w:szCs w:val="18"/>
        </w:rPr>
        <w:t xml:space="preserve"> The </w:t>
      </w:r>
      <w:r w:rsidRPr="004E567A">
        <w:rPr>
          <w:sz w:val="18"/>
          <w:szCs w:val="18"/>
          <w:cs/>
          <w:lang w:bidi="bn-BD"/>
        </w:rPr>
        <w:t>demographic data, types of surgery, types of therapy, choice of antibiotic along with dosage formulation were collected.</w:t>
      </w:r>
    </w:p>
    <w:p w:rsidR="009007EB" w:rsidRPr="004E567A" w:rsidRDefault="009007EB" w:rsidP="009007EB">
      <w:pPr>
        <w:pStyle w:val="NormalWeb"/>
        <w:jc w:val="both"/>
        <w:rPr>
          <w:sz w:val="18"/>
          <w:szCs w:val="18"/>
        </w:rPr>
      </w:pPr>
      <w:r w:rsidRPr="004E567A">
        <w:rPr>
          <w:b/>
          <w:bCs/>
          <w:sz w:val="18"/>
          <w:szCs w:val="18"/>
          <w:cs/>
          <w:lang w:bidi="bn-BD"/>
        </w:rPr>
        <w:t>Findings:</w:t>
      </w:r>
      <w:r w:rsidRPr="004E567A">
        <w:rPr>
          <w:sz w:val="18"/>
          <w:szCs w:val="18"/>
        </w:rPr>
        <w:t xml:space="preserve"> Out of </w:t>
      </w:r>
      <w:r w:rsidRPr="004E567A">
        <w:rPr>
          <w:sz w:val="18"/>
          <w:szCs w:val="18"/>
          <w:cs/>
          <w:lang w:bidi="bn-BD"/>
        </w:rPr>
        <w:t>600</w:t>
      </w:r>
      <w:r w:rsidRPr="004E567A">
        <w:rPr>
          <w:sz w:val="18"/>
          <w:szCs w:val="18"/>
        </w:rPr>
        <w:t xml:space="preserve">, </w:t>
      </w:r>
      <w:r w:rsidRPr="004E567A">
        <w:rPr>
          <w:sz w:val="18"/>
          <w:szCs w:val="18"/>
          <w:cs/>
          <w:lang w:bidi="bn-BD"/>
        </w:rPr>
        <w:t>306 patients (51%) were male and 294 (49%) were female. Highest bulk of patients wer from department of general surgery (26%), followed by department of Urology (24.5%) and department of Obstetrics &amp; Gynecology (22.5%). Majority of patients were age group 30-39 years (26%), followed by 50-59 years (23.5%) and 40-49 years (21.5%). Surgical prophylactic antibiotic was used in all 600 patients, and all antibiotics were given in intravenous route (100%). 567patient</w:t>
      </w:r>
      <w:r w:rsidRPr="004E567A">
        <w:rPr>
          <w:sz w:val="18"/>
          <w:szCs w:val="18"/>
        </w:rPr>
        <w:t>s (</w:t>
      </w:r>
      <w:r w:rsidRPr="004E567A">
        <w:rPr>
          <w:sz w:val="18"/>
          <w:szCs w:val="18"/>
          <w:cs/>
          <w:lang w:bidi="bn-BD"/>
        </w:rPr>
        <w:t>94</w:t>
      </w:r>
      <w:r w:rsidRPr="004E567A">
        <w:rPr>
          <w:sz w:val="18"/>
          <w:szCs w:val="18"/>
        </w:rPr>
        <w:t>.</w:t>
      </w:r>
      <w:r w:rsidRPr="004E567A">
        <w:rPr>
          <w:sz w:val="18"/>
          <w:szCs w:val="18"/>
          <w:cs/>
          <w:lang w:bidi="bn-BD"/>
        </w:rPr>
        <w:t>5</w:t>
      </w:r>
      <w:r w:rsidRPr="004E567A">
        <w:rPr>
          <w:sz w:val="18"/>
          <w:szCs w:val="18"/>
        </w:rPr>
        <w:t xml:space="preserve">%) had </w:t>
      </w:r>
      <w:r w:rsidRPr="004E567A">
        <w:rPr>
          <w:sz w:val="18"/>
          <w:szCs w:val="18"/>
          <w:cs/>
          <w:lang w:bidi="bn-BD"/>
        </w:rPr>
        <w:t>received monotherapy of animicrobial agent, whether 27 patients (4.5%) and 06 patients (1%) received two drugs combination and three drugs combination respectively</w:t>
      </w:r>
      <w:r w:rsidRPr="004E567A">
        <w:rPr>
          <w:sz w:val="18"/>
          <w:szCs w:val="18"/>
        </w:rPr>
        <w:t xml:space="preserve">. </w:t>
      </w:r>
      <w:r w:rsidRPr="004E567A">
        <w:rPr>
          <w:sz w:val="18"/>
          <w:szCs w:val="18"/>
          <w:cs/>
          <w:lang w:bidi="bn-BD"/>
        </w:rPr>
        <w:t>3rd generation cephalosporin, Ceftriaxone,</w:t>
      </w:r>
      <w:r w:rsidRPr="004E567A">
        <w:rPr>
          <w:sz w:val="18"/>
          <w:szCs w:val="18"/>
        </w:rPr>
        <w:t xml:space="preserve"> was the most commonly </w:t>
      </w:r>
      <w:r w:rsidRPr="004E567A">
        <w:rPr>
          <w:sz w:val="18"/>
          <w:szCs w:val="18"/>
          <w:cs/>
          <w:lang w:bidi="bn-BD"/>
        </w:rPr>
        <w:t>prescribed antibiotic as monotherapy</w:t>
      </w:r>
      <w:r w:rsidRPr="004E567A">
        <w:rPr>
          <w:sz w:val="18"/>
          <w:szCs w:val="18"/>
        </w:rPr>
        <w:t xml:space="preserve"> (</w:t>
      </w:r>
      <w:r w:rsidRPr="004E567A">
        <w:rPr>
          <w:sz w:val="18"/>
          <w:szCs w:val="18"/>
          <w:cs/>
          <w:lang w:bidi="bn-BD"/>
        </w:rPr>
        <w:t>65.</w:t>
      </w:r>
      <w:r w:rsidRPr="004E567A">
        <w:rPr>
          <w:sz w:val="18"/>
          <w:szCs w:val="18"/>
        </w:rPr>
        <w:t>.</w:t>
      </w:r>
      <w:r w:rsidRPr="004E567A">
        <w:rPr>
          <w:sz w:val="18"/>
          <w:szCs w:val="18"/>
          <w:cs/>
          <w:lang w:bidi="bn-BD"/>
        </w:rPr>
        <w:t>1</w:t>
      </w:r>
      <w:r w:rsidRPr="004E567A">
        <w:rPr>
          <w:sz w:val="18"/>
          <w:szCs w:val="18"/>
        </w:rPr>
        <w:t>%)</w:t>
      </w:r>
      <w:r w:rsidRPr="004E567A">
        <w:rPr>
          <w:sz w:val="18"/>
          <w:szCs w:val="18"/>
          <w:cs/>
          <w:lang w:bidi="bn-BD"/>
        </w:rPr>
        <w:t>, followed by 2nd generation cephalosporin, cefuroxime (27.5%)</w:t>
      </w:r>
      <w:r w:rsidRPr="004E567A">
        <w:rPr>
          <w:sz w:val="18"/>
          <w:szCs w:val="18"/>
        </w:rPr>
        <w:t xml:space="preserve">. </w:t>
      </w:r>
    </w:p>
    <w:p w:rsidR="005973B9" w:rsidRPr="00F84D70" w:rsidRDefault="009007EB" w:rsidP="00F84D70">
      <w:pPr>
        <w:pStyle w:val="NormalWeb"/>
        <w:jc w:val="both"/>
        <w:rPr>
          <w:rFonts w:ascii="Tw Cen MT" w:hAnsi="Tw Cen MT"/>
        </w:rPr>
      </w:pPr>
      <w:r w:rsidRPr="004E567A">
        <w:rPr>
          <w:b/>
          <w:bCs/>
          <w:sz w:val="18"/>
          <w:szCs w:val="18"/>
          <w:cs/>
          <w:lang w:bidi="bn-BD"/>
        </w:rPr>
        <w:t xml:space="preserve">Conclusion &amp; Significance: </w:t>
      </w:r>
      <w:r w:rsidRPr="004E567A">
        <w:rPr>
          <w:sz w:val="18"/>
          <w:szCs w:val="18"/>
          <w:cs/>
          <w:lang w:bidi="bn-BD"/>
        </w:rPr>
        <w:t>Ceftriaxone was the preferred antibiotic for surgical prophylaxis. Existence of an antimicrobial gudeline along with antibiotic stewardship program in every hospital could be helpful for prescribers to play role in containment of antimicrobial resistance</w:t>
      </w:r>
      <w:r w:rsidRPr="009007EB">
        <w:rPr>
          <w:rFonts w:ascii="Tw Cen MT" w:hAnsi="Tw Cen MT"/>
          <w:sz w:val="18"/>
          <w:szCs w:val="18"/>
          <w:cs/>
          <w:lang w:bidi="bn-BD"/>
        </w:rPr>
        <w:t>.</w:t>
      </w:r>
      <w:r w:rsidR="00A9710C" w:rsidRPr="009007EB">
        <w:rPr>
          <w:rFonts w:ascii="Tw Cen MT" w:hAnsi="Tw Cen MT"/>
        </w:rPr>
        <w:br w:type="column"/>
      </w:r>
      <w:bookmarkStart w:id="0" w:name="_GoBack"/>
      <w:bookmarkEnd w:id="0"/>
      <w:r w:rsidR="005973B9" w:rsidRPr="009007EB">
        <w:rPr>
          <w:rFonts w:ascii="Tw Cen MT" w:hAnsi="Tw Cen MT"/>
          <w:b/>
          <w:color w:val="BF5A14"/>
          <w:sz w:val="20"/>
        </w:rPr>
        <w:lastRenderedPageBreak/>
        <w:br/>
      </w:r>
      <w:r w:rsidR="005973B9" w:rsidRPr="00FC3732">
        <w:rPr>
          <w:rFonts w:ascii="Tw Cen MT" w:hAnsi="Tw Cen MT"/>
          <w:b/>
          <w:color w:val="BF5A14"/>
        </w:rPr>
        <w:t>Publications</w:t>
      </w:r>
    </w:p>
    <w:p w:rsidR="00693893" w:rsidRPr="00EA091C" w:rsidRDefault="00693893" w:rsidP="00693893">
      <w:pPr>
        <w:pStyle w:val="ListParagraph"/>
        <w:widowControl/>
        <w:numPr>
          <w:ilvl w:val="0"/>
          <w:numId w:val="3"/>
        </w:numPr>
        <w:spacing w:before="0" w:after="200" w:line="276" w:lineRule="auto"/>
        <w:contextualSpacing/>
        <w:rPr>
          <w:rFonts w:ascii="Times New Roman" w:hAnsi="Times New Roman" w:cs="Times New Roman"/>
          <w:sz w:val="18"/>
          <w:szCs w:val="18"/>
        </w:rPr>
      </w:pPr>
      <w:proofErr w:type="spellStart"/>
      <w:r w:rsidRPr="00EA091C">
        <w:rPr>
          <w:rFonts w:ascii="Times New Roman" w:hAnsi="Times New Roman" w:cs="Times New Roman"/>
          <w:i/>
          <w:sz w:val="18"/>
          <w:szCs w:val="18"/>
        </w:rPr>
        <w:t>Baqui</w:t>
      </w:r>
      <w:proofErr w:type="spellEnd"/>
      <w:r w:rsidRPr="00EA091C">
        <w:rPr>
          <w:rFonts w:ascii="Times New Roman" w:hAnsi="Times New Roman" w:cs="Times New Roman"/>
          <w:i/>
          <w:sz w:val="18"/>
          <w:szCs w:val="18"/>
        </w:rPr>
        <w:t xml:space="preserve"> QBOF, </w:t>
      </w:r>
      <w:proofErr w:type="spellStart"/>
      <w:r w:rsidRPr="00EA091C">
        <w:rPr>
          <w:rFonts w:ascii="Times New Roman" w:hAnsi="Times New Roman" w:cs="Times New Roman"/>
          <w:i/>
          <w:sz w:val="18"/>
          <w:szCs w:val="18"/>
        </w:rPr>
        <w:t>Hiron</w:t>
      </w:r>
      <w:proofErr w:type="spellEnd"/>
      <w:r w:rsidRPr="00EA091C">
        <w:rPr>
          <w:rFonts w:ascii="Times New Roman" w:hAnsi="Times New Roman" w:cs="Times New Roman"/>
          <w:i/>
          <w:sz w:val="18"/>
          <w:szCs w:val="18"/>
        </w:rPr>
        <w:t xml:space="preserve"> MM, Begum HA, Begum ZA, </w:t>
      </w:r>
      <w:proofErr w:type="spellStart"/>
      <w:r w:rsidRPr="00EA091C">
        <w:rPr>
          <w:rFonts w:ascii="Times New Roman" w:hAnsi="Times New Roman" w:cs="Times New Roman"/>
          <w:i/>
          <w:sz w:val="18"/>
          <w:szCs w:val="18"/>
        </w:rPr>
        <w:t>Chowdhury</w:t>
      </w:r>
      <w:proofErr w:type="spellEnd"/>
      <w:r w:rsidRPr="00EA091C">
        <w:rPr>
          <w:rFonts w:ascii="Times New Roman" w:hAnsi="Times New Roman" w:cs="Times New Roman"/>
          <w:i/>
          <w:sz w:val="18"/>
          <w:szCs w:val="18"/>
        </w:rPr>
        <w:t xml:space="preserve"> SAR (2002)</w:t>
      </w:r>
      <w:r w:rsidRPr="00EA091C">
        <w:rPr>
          <w:rFonts w:ascii="Times New Roman" w:hAnsi="Times New Roman" w:cs="Times New Roman"/>
          <w:sz w:val="18"/>
          <w:szCs w:val="18"/>
        </w:rPr>
        <w:t xml:space="preserve"> Pattern of Drug Use in Enteric Fever By Graduate And Rural Prescriber. Journal of Medicine </w:t>
      </w:r>
      <w:r w:rsidRPr="00EA091C">
        <w:rPr>
          <w:rFonts w:ascii="Times New Roman" w:hAnsi="Times New Roman" w:cs="Times New Roman"/>
          <w:i/>
          <w:sz w:val="18"/>
          <w:szCs w:val="18"/>
        </w:rPr>
        <w:t>14:121</w:t>
      </w:r>
    </w:p>
    <w:p w:rsidR="00693893" w:rsidRPr="00EA091C" w:rsidRDefault="00693893" w:rsidP="00693893">
      <w:pPr>
        <w:pStyle w:val="ListParagraph"/>
        <w:widowControl/>
        <w:numPr>
          <w:ilvl w:val="0"/>
          <w:numId w:val="3"/>
        </w:numPr>
        <w:spacing w:before="0" w:after="200" w:line="276" w:lineRule="auto"/>
        <w:contextualSpacing/>
        <w:rPr>
          <w:rFonts w:ascii="Times New Roman" w:hAnsi="Times New Roman" w:cs="Times New Roman"/>
          <w:i/>
          <w:sz w:val="18"/>
          <w:szCs w:val="18"/>
        </w:rPr>
      </w:pPr>
      <w:proofErr w:type="spellStart"/>
      <w:r w:rsidRPr="00EA091C">
        <w:rPr>
          <w:rFonts w:ascii="Times New Roman" w:hAnsi="Times New Roman" w:cs="Times New Roman"/>
          <w:i/>
          <w:sz w:val="18"/>
          <w:szCs w:val="18"/>
        </w:rPr>
        <w:t>Baqui</w:t>
      </w:r>
      <w:proofErr w:type="spellEnd"/>
      <w:r w:rsidRPr="00EA091C">
        <w:rPr>
          <w:rFonts w:ascii="Times New Roman" w:hAnsi="Times New Roman" w:cs="Times New Roman"/>
          <w:i/>
          <w:sz w:val="18"/>
          <w:szCs w:val="18"/>
        </w:rPr>
        <w:t xml:space="preserve"> QBOF, </w:t>
      </w:r>
      <w:proofErr w:type="spellStart"/>
      <w:r w:rsidRPr="00EA091C">
        <w:rPr>
          <w:rFonts w:ascii="Times New Roman" w:hAnsi="Times New Roman" w:cs="Times New Roman"/>
          <w:i/>
          <w:sz w:val="18"/>
          <w:szCs w:val="18"/>
        </w:rPr>
        <w:t>Chowdhury</w:t>
      </w:r>
      <w:proofErr w:type="spellEnd"/>
      <w:r w:rsidRPr="00EA091C">
        <w:rPr>
          <w:rFonts w:ascii="Times New Roman" w:hAnsi="Times New Roman" w:cs="Times New Roman"/>
          <w:i/>
          <w:sz w:val="18"/>
          <w:szCs w:val="18"/>
        </w:rPr>
        <w:t xml:space="preserve"> SAR (2005) Prescribing Pattern of Graduate and Non-Graduate Medical Prescribers in Rural Bangladesh.</w:t>
      </w:r>
      <w:r w:rsidRPr="00EA091C">
        <w:rPr>
          <w:rFonts w:ascii="Times New Roman" w:hAnsi="Times New Roman" w:cs="Times New Roman"/>
          <w:sz w:val="18"/>
          <w:szCs w:val="18"/>
        </w:rPr>
        <w:t xml:space="preserve"> World Health </w:t>
      </w:r>
      <w:proofErr w:type="spellStart"/>
      <w:r w:rsidRPr="00EA091C">
        <w:rPr>
          <w:rFonts w:ascii="Times New Roman" w:hAnsi="Times New Roman" w:cs="Times New Roman"/>
          <w:sz w:val="18"/>
          <w:szCs w:val="18"/>
        </w:rPr>
        <w:t>Organisation</w:t>
      </w:r>
      <w:proofErr w:type="spellEnd"/>
      <w:r w:rsidRPr="00EA091C">
        <w:rPr>
          <w:rFonts w:ascii="Times New Roman" w:hAnsi="Times New Roman" w:cs="Times New Roman"/>
          <w:sz w:val="18"/>
          <w:szCs w:val="18"/>
        </w:rPr>
        <w:t>: Essential Medicine and Policy Department (EDM). [Online]. Available at: (</w:t>
      </w:r>
      <w:hyperlink r:id="rId11" w:history="1">
        <w:r w:rsidRPr="00EA091C">
          <w:rPr>
            <w:rStyle w:val="Hyperlink"/>
            <w:rFonts w:ascii="Times New Roman" w:hAnsi="Times New Roman" w:cs="Times New Roman"/>
            <w:sz w:val="18"/>
            <w:szCs w:val="18"/>
          </w:rPr>
          <w:t>http://mednet3.who.int/icium/icium1997/posters/2p18_text.html</w:t>
        </w:r>
      </w:hyperlink>
      <w:r w:rsidRPr="00EA091C">
        <w:rPr>
          <w:rFonts w:ascii="Times New Roman" w:hAnsi="Times New Roman" w:cs="Times New Roman"/>
          <w:sz w:val="18"/>
          <w:szCs w:val="18"/>
        </w:rPr>
        <w:t xml:space="preserve"> )&gt; [23 June 2005]</w:t>
      </w:r>
    </w:p>
    <w:p w:rsidR="00693893" w:rsidRPr="00EA091C" w:rsidRDefault="00693893" w:rsidP="00693893">
      <w:pPr>
        <w:pStyle w:val="ListParagraph"/>
        <w:widowControl/>
        <w:numPr>
          <w:ilvl w:val="0"/>
          <w:numId w:val="3"/>
        </w:numPr>
        <w:spacing w:before="0" w:after="200" w:line="276" w:lineRule="auto"/>
        <w:contextualSpacing/>
        <w:rPr>
          <w:rFonts w:ascii="Times New Roman" w:hAnsi="Times New Roman" w:cs="Times New Roman"/>
          <w:sz w:val="18"/>
          <w:szCs w:val="18"/>
        </w:rPr>
      </w:pPr>
      <w:proofErr w:type="spellStart"/>
      <w:r w:rsidRPr="00EA091C">
        <w:rPr>
          <w:rFonts w:ascii="Times New Roman" w:hAnsi="Times New Roman" w:cs="Times New Roman"/>
          <w:sz w:val="18"/>
          <w:szCs w:val="18"/>
        </w:rPr>
        <w:t>Scaife</w:t>
      </w:r>
      <w:proofErr w:type="spellEnd"/>
      <w:r w:rsidRPr="00EA091C">
        <w:rPr>
          <w:rFonts w:ascii="Times New Roman" w:hAnsi="Times New Roman" w:cs="Times New Roman"/>
          <w:sz w:val="18"/>
          <w:szCs w:val="18"/>
        </w:rPr>
        <w:t xml:space="preserve"> JC, </w:t>
      </w:r>
      <w:proofErr w:type="spellStart"/>
      <w:r w:rsidRPr="00EA091C">
        <w:rPr>
          <w:rFonts w:ascii="Times New Roman" w:hAnsi="Times New Roman" w:cs="Times New Roman"/>
          <w:sz w:val="18"/>
          <w:szCs w:val="18"/>
        </w:rPr>
        <w:t>Hou</w:t>
      </w:r>
      <w:proofErr w:type="spellEnd"/>
      <w:r w:rsidRPr="00EA091C">
        <w:rPr>
          <w:rFonts w:ascii="Times New Roman" w:hAnsi="Times New Roman" w:cs="Times New Roman"/>
          <w:sz w:val="18"/>
          <w:szCs w:val="18"/>
        </w:rPr>
        <w:t xml:space="preserve"> RH, Samuel ER, </w:t>
      </w:r>
      <w:proofErr w:type="spellStart"/>
      <w:r w:rsidRPr="00EA091C">
        <w:rPr>
          <w:rFonts w:ascii="Times New Roman" w:hAnsi="Times New Roman" w:cs="Times New Roman"/>
          <w:sz w:val="18"/>
          <w:szCs w:val="18"/>
        </w:rPr>
        <w:t>Baqui</w:t>
      </w:r>
      <w:proofErr w:type="spellEnd"/>
      <w:r w:rsidRPr="00EA091C">
        <w:rPr>
          <w:rFonts w:ascii="Times New Roman" w:hAnsi="Times New Roman" w:cs="Times New Roman"/>
          <w:sz w:val="18"/>
          <w:szCs w:val="18"/>
        </w:rPr>
        <w:t xml:space="preserve">  F, Langley R W, Bradshaw CM, </w:t>
      </w:r>
      <w:proofErr w:type="spellStart"/>
      <w:r w:rsidRPr="00EA091C">
        <w:rPr>
          <w:rFonts w:ascii="Times New Roman" w:hAnsi="Times New Roman" w:cs="Times New Roman"/>
          <w:sz w:val="18"/>
          <w:szCs w:val="18"/>
        </w:rPr>
        <w:t>Szabadi</w:t>
      </w:r>
      <w:proofErr w:type="spellEnd"/>
      <w:r w:rsidRPr="00EA091C">
        <w:rPr>
          <w:rFonts w:ascii="Times New Roman" w:hAnsi="Times New Roman" w:cs="Times New Roman"/>
          <w:sz w:val="18"/>
          <w:szCs w:val="18"/>
        </w:rPr>
        <w:t xml:space="preserve"> E  (2007). Diazepam-induced disruption of classically-conditioned fear-</w:t>
      </w:r>
      <w:proofErr w:type="spellStart"/>
      <w:r w:rsidRPr="00EA091C">
        <w:rPr>
          <w:rFonts w:ascii="Times New Roman" w:hAnsi="Times New Roman" w:cs="Times New Roman"/>
          <w:sz w:val="18"/>
          <w:szCs w:val="18"/>
        </w:rPr>
        <w:t>potentiation</w:t>
      </w:r>
      <w:proofErr w:type="spellEnd"/>
      <w:r w:rsidRPr="00EA091C">
        <w:rPr>
          <w:rFonts w:ascii="Times New Roman" w:hAnsi="Times New Roman" w:cs="Times New Roman"/>
          <w:sz w:val="18"/>
          <w:szCs w:val="18"/>
        </w:rPr>
        <w:t xml:space="preserve"> of late-latency auditory evoked potentials is prevented by </w:t>
      </w:r>
      <w:proofErr w:type="spellStart"/>
      <w:r w:rsidRPr="00EA091C">
        <w:rPr>
          <w:rFonts w:ascii="Times New Roman" w:hAnsi="Times New Roman" w:cs="Times New Roman"/>
          <w:sz w:val="18"/>
          <w:szCs w:val="18"/>
        </w:rPr>
        <w:t>Flumazenil</w:t>
      </w:r>
      <w:proofErr w:type="spellEnd"/>
      <w:r w:rsidRPr="00EA091C">
        <w:rPr>
          <w:rFonts w:ascii="Times New Roman" w:hAnsi="Times New Roman" w:cs="Times New Roman"/>
          <w:sz w:val="18"/>
          <w:szCs w:val="18"/>
        </w:rPr>
        <w:t xml:space="preserve"> given before, but not after, CS-US”. Journal of Psychopharmacology 21(1):  93.</w:t>
      </w:r>
    </w:p>
    <w:p w:rsidR="00211426" w:rsidRPr="00EA091C" w:rsidRDefault="00211426" w:rsidP="00640AD3">
      <w:pPr>
        <w:pStyle w:val="ListParagraph"/>
        <w:widowControl/>
        <w:spacing w:before="0" w:line="240" w:lineRule="auto"/>
        <w:ind w:left="386" w:firstLine="0"/>
        <w:contextualSpacing/>
        <w:rPr>
          <w:rFonts w:ascii="Times New Roman" w:hAnsi="Times New Roman" w:cs="Times New Roman"/>
          <w:sz w:val="18"/>
          <w:szCs w:val="18"/>
        </w:rPr>
      </w:pPr>
    </w:p>
    <w:p w:rsidR="00AE3E37" w:rsidRPr="00EA091C" w:rsidRDefault="00211426" w:rsidP="00211426">
      <w:pPr>
        <w:pStyle w:val="ListParagraph"/>
        <w:widowControl/>
        <w:numPr>
          <w:ilvl w:val="0"/>
          <w:numId w:val="3"/>
        </w:numPr>
        <w:spacing w:before="0" w:after="200" w:line="276" w:lineRule="auto"/>
        <w:contextualSpacing/>
        <w:rPr>
          <w:rFonts w:ascii="Times New Roman" w:hAnsi="Times New Roman" w:cs="Times New Roman"/>
        </w:rPr>
      </w:pPr>
      <w:proofErr w:type="spellStart"/>
      <w:r w:rsidRPr="00EA091C">
        <w:rPr>
          <w:rFonts w:ascii="Times New Roman" w:hAnsi="Times New Roman" w:cs="Times New Roman"/>
          <w:i/>
          <w:sz w:val="18"/>
          <w:szCs w:val="18"/>
        </w:rPr>
        <w:t>Abduljawad</w:t>
      </w:r>
      <w:proofErr w:type="spellEnd"/>
      <w:r w:rsidRPr="00EA091C">
        <w:rPr>
          <w:rFonts w:ascii="Times New Roman" w:hAnsi="Times New Roman" w:cs="Times New Roman"/>
          <w:i/>
          <w:sz w:val="18"/>
          <w:szCs w:val="18"/>
        </w:rPr>
        <w:t xml:space="preserve"> KA, </w:t>
      </w:r>
      <w:proofErr w:type="spellStart"/>
      <w:r w:rsidRPr="00EA091C">
        <w:rPr>
          <w:rFonts w:ascii="Times New Roman" w:hAnsi="Times New Roman" w:cs="Times New Roman"/>
          <w:i/>
          <w:sz w:val="18"/>
          <w:szCs w:val="18"/>
        </w:rPr>
        <w:t>Baqui</w:t>
      </w:r>
      <w:proofErr w:type="spellEnd"/>
      <w:r w:rsidRPr="00EA091C">
        <w:rPr>
          <w:rFonts w:ascii="Times New Roman" w:hAnsi="Times New Roman" w:cs="Times New Roman"/>
          <w:i/>
          <w:sz w:val="18"/>
          <w:szCs w:val="18"/>
        </w:rPr>
        <w:t xml:space="preserve">  F, Langley RW, Bradshaw CM, </w:t>
      </w:r>
      <w:proofErr w:type="spellStart"/>
      <w:r w:rsidRPr="00EA091C">
        <w:rPr>
          <w:rFonts w:ascii="Times New Roman" w:hAnsi="Times New Roman" w:cs="Times New Roman"/>
          <w:i/>
          <w:sz w:val="18"/>
          <w:szCs w:val="18"/>
        </w:rPr>
        <w:t>Szabadi</w:t>
      </w:r>
      <w:proofErr w:type="spellEnd"/>
      <w:r w:rsidRPr="00EA091C">
        <w:rPr>
          <w:rFonts w:ascii="Times New Roman" w:hAnsi="Times New Roman" w:cs="Times New Roman"/>
          <w:i/>
          <w:sz w:val="18"/>
          <w:szCs w:val="18"/>
        </w:rPr>
        <w:t xml:space="preserve">  E (2007) Effects of Threat of Electric Shock and Diazepam on the N1/P2 Auditory  Evoked Potential Elicited  by  low –Intensity Auditory Stimuli, </w:t>
      </w:r>
      <w:hyperlink r:id="rId12" w:tooltip="Journal of psychopharmacology (Oxford, England)." w:history="1">
        <w:r w:rsidRPr="00EA091C">
          <w:rPr>
            <w:rStyle w:val="Hyperlink"/>
            <w:rFonts w:ascii="Times New Roman" w:hAnsi="Times New Roman" w:cs="Times New Roman"/>
            <w:sz w:val="18"/>
            <w:szCs w:val="18"/>
          </w:rPr>
          <w:t xml:space="preserve">J </w:t>
        </w:r>
        <w:proofErr w:type="spellStart"/>
        <w:r w:rsidRPr="00EA091C">
          <w:rPr>
            <w:rStyle w:val="Hyperlink"/>
            <w:rFonts w:ascii="Times New Roman" w:hAnsi="Times New Roman" w:cs="Times New Roman"/>
            <w:sz w:val="18"/>
            <w:szCs w:val="18"/>
          </w:rPr>
          <w:t>Psychopharmacol</w:t>
        </w:r>
        <w:proofErr w:type="spellEnd"/>
        <w:r w:rsidRPr="00EA091C">
          <w:rPr>
            <w:rStyle w:val="Hyperlink"/>
            <w:rFonts w:ascii="Times New Roman" w:hAnsi="Times New Roman" w:cs="Times New Roman"/>
            <w:sz w:val="18"/>
            <w:szCs w:val="18"/>
          </w:rPr>
          <w:t>.</w:t>
        </w:r>
      </w:hyperlink>
      <w:r w:rsidRPr="00EA091C">
        <w:rPr>
          <w:rFonts w:ascii="Times New Roman" w:hAnsi="Times New Roman" w:cs="Times New Roman"/>
          <w:sz w:val="18"/>
          <w:szCs w:val="18"/>
        </w:rPr>
        <w:t xml:space="preserve"> 2008 Nov</w:t>
      </w:r>
      <w:proofErr w:type="gramStart"/>
      <w:r w:rsidRPr="00EA091C">
        <w:rPr>
          <w:rFonts w:ascii="Times New Roman" w:hAnsi="Times New Roman" w:cs="Times New Roman"/>
          <w:sz w:val="18"/>
          <w:szCs w:val="18"/>
        </w:rPr>
        <w:t>;22</w:t>
      </w:r>
      <w:proofErr w:type="gramEnd"/>
      <w:r w:rsidRPr="00EA091C">
        <w:rPr>
          <w:rFonts w:ascii="Times New Roman" w:hAnsi="Times New Roman" w:cs="Times New Roman"/>
          <w:sz w:val="18"/>
          <w:szCs w:val="18"/>
        </w:rPr>
        <w:t>(8):828-35.</w:t>
      </w:r>
    </w:p>
    <w:p w:rsidR="00AE3E37" w:rsidRPr="00EA091C" w:rsidRDefault="00AE3E37">
      <w:pPr>
        <w:spacing w:line="200" w:lineRule="exact"/>
        <w:jc w:val="both"/>
        <w:rPr>
          <w:rFonts w:ascii="Times New Roman" w:hAnsi="Times New Roman" w:cs="Times New Roman"/>
          <w:sz w:val="16"/>
        </w:rPr>
      </w:pPr>
    </w:p>
    <w:p w:rsidR="00640AD3" w:rsidRPr="00EA091C" w:rsidRDefault="00640AD3" w:rsidP="00640AD3">
      <w:pPr>
        <w:pStyle w:val="ListParagraph"/>
        <w:widowControl/>
        <w:tabs>
          <w:tab w:val="left" w:pos="360"/>
        </w:tabs>
        <w:spacing w:before="0" w:line="240" w:lineRule="auto"/>
        <w:ind w:left="360" w:hanging="180"/>
        <w:contextualSpacing/>
        <w:rPr>
          <w:rFonts w:ascii="Times New Roman" w:hAnsi="Times New Roman" w:cs="Times New Roman"/>
        </w:rPr>
      </w:pPr>
      <w:r w:rsidRPr="00EA091C">
        <w:rPr>
          <w:rFonts w:ascii="Times New Roman" w:hAnsi="Times New Roman" w:cs="Times New Roman"/>
          <w:sz w:val="16"/>
        </w:rPr>
        <w:t xml:space="preserve">  5</w:t>
      </w:r>
      <w:r w:rsidRPr="00EA091C">
        <w:rPr>
          <w:rFonts w:ascii="Times New Roman" w:hAnsi="Times New Roman" w:cs="Times New Roman"/>
          <w:sz w:val="18"/>
          <w:szCs w:val="18"/>
        </w:rPr>
        <w:t>.</w:t>
      </w:r>
      <w:r w:rsidRPr="00EA091C">
        <w:rPr>
          <w:rFonts w:ascii="Times New Roman" w:hAnsi="Times New Roman" w:cs="Times New Roman"/>
          <w:b/>
          <w:sz w:val="18"/>
          <w:szCs w:val="18"/>
        </w:rPr>
        <w:t xml:space="preserve"> </w:t>
      </w:r>
      <w:proofErr w:type="spellStart"/>
      <w:r w:rsidRPr="00EA091C">
        <w:rPr>
          <w:rFonts w:ascii="Times New Roman" w:hAnsi="Times New Roman" w:cs="Times New Roman"/>
          <w:sz w:val="18"/>
          <w:szCs w:val="18"/>
        </w:rPr>
        <w:t>Baqui</w:t>
      </w:r>
      <w:proofErr w:type="spellEnd"/>
      <w:r w:rsidRPr="00EA091C">
        <w:rPr>
          <w:rFonts w:ascii="Times New Roman" w:hAnsi="Times New Roman" w:cs="Times New Roman"/>
          <w:sz w:val="18"/>
          <w:szCs w:val="18"/>
        </w:rPr>
        <w:t xml:space="preserve"> QBOF, </w:t>
      </w:r>
      <w:proofErr w:type="spellStart"/>
      <w:r w:rsidRPr="00EA091C">
        <w:rPr>
          <w:rFonts w:ascii="Times New Roman" w:hAnsi="Times New Roman" w:cs="Times New Roman"/>
          <w:sz w:val="18"/>
          <w:szCs w:val="18"/>
        </w:rPr>
        <w:t>Johora</w:t>
      </w:r>
      <w:proofErr w:type="spellEnd"/>
      <w:r w:rsidRPr="00EA091C">
        <w:rPr>
          <w:rFonts w:ascii="Times New Roman" w:hAnsi="Times New Roman" w:cs="Times New Roman"/>
          <w:sz w:val="18"/>
          <w:szCs w:val="18"/>
        </w:rPr>
        <w:t xml:space="preserve"> F, Anne H, N </w:t>
      </w:r>
      <w:proofErr w:type="spellStart"/>
      <w:r w:rsidRPr="00EA091C">
        <w:rPr>
          <w:rFonts w:ascii="Times New Roman" w:hAnsi="Times New Roman" w:cs="Times New Roman"/>
          <w:sz w:val="18"/>
          <w:szCs w:val="18"/>
        </w:rPr>
        <w:t>Afreen</w:t>
      </w:r>
      <w:proofErr w:type="spellEnd"/>
      <w:r w:rsidRPr="00EA091C">
        <w:rPr>
          <w:rFonts w:ascii="Times New Roman" w:hAnsi="Times New Roman" w:cs="Times New Roman"/>
          <w:sz w:val="18"/>
          <w:szCs w:val="18"/>
        </w:rPr>
        <w:t xml:space="preserve"> and Begum H A, (2019) Self Medication Practices among the tribal people of </w:t>
      </w:r>
      <w:proofErr w:type="spellStart"/>
      <w:r w:rsidRPr="00EA091C">
        <w:rPr>
          <w:rFonts w:ascii="Times New Roman" w:hAnsi="Times New Roman" w:cs="Times New Roman"/>
          <w:sz w:val="18"/>
          <w:szCs w:val="18"/>
        </w:rPr>
        <w:t>Rangamati</w:t>
      </w:r>
      <w:proofErr w:type="spellEnd"/>
      <w:r w:rsidRPr="00EA091C">
        <w:rPr>
          <w:rFonts w:ascii="Times New Roman" w:hAnsi="Times New Roman" w:cs="Times New Roman"/>
          <w:sz w:val="18"/>
          <w:szCs w:val="18"/>
        </w:rPr>
        <w:t>: A questionnaire-based study, Journal of Pharmaceutics and Drug Delivery Research, 8:42</w:t>
      </w:r>
    </w:p>
    <w:p w:rsidR="00640AD3" w:rsidRPr="00640AD3" w:rsidRDefault="00640AD3" w:rsidP="00640AD3">
      <w:pPr>
        <w:pStyle w:val="ListParagraph"/>
        <w:tabs>
          <w:tab w:val="left" w:pos="360"/>
        </w:tabs>
        <w:ind w:hanging="180"/>
        <w:rPr>
          <w:rFonts w:ascii="Times New Roman" w:hAnsi="Times New Roman" w:cs="Times New Roman"/>
        </w:rPr>
      </w:pPr>
    </w:p>
    <w:p w:rsidR="00640AD3" w:rsidRPr="009007EB" w:rsidRDefault="00640AD3">
      <w:pPr>
        <w:spacing w:line="200" w:lineRule="exact"/>
        <w:jc w:val="both"/>
        <w:rPr>
          <w:sz w:val="16"/>
        </w:rPr>
        <w:sectPr w:rsidR="00640AD3" w:rsidRPr="009007EB">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2F0131" w:rsidRPr="005A78FF" w:rsidRDefault="002F0131">
      <w:pPr>
        <w:pStyle w:val="BodyText"/>
        <w:rPr>
          <w:rFonts w:ascii="Calibri"/>
          <w:sz w:val="2"/>
        </w:rPr>
      </w:pPr>
    </w:p>
    <w:p w:rsidR="002F0131" w:rsidRDefault="002F0131">
      <w:pPr>
        <w:pStyle w:val="BodyText"/>
        <w:spacing w:line="40" w:lineRule="exact"/>
        <w:ind w:left="2202"/>
        <w:rPr>
          <w:rFonts w:ascii="Calibri"/>
          <w:sz w:val="4"/>
        </w:rPr>
      </w:pPr>
    </w:p>
    <w:p w:rsidR="002F0131" w:rsidRDefault="002F0131">
      <w:pPr>
        <w:pStyle w:val="BodyText"/>
        <w:spacing w:line="40" w:lineRule="exact"/>
        <w:ind w:left="2202"/>
        <w:rPr>
          <w:rFonts w:ascii="Calibri"/>
          <w:sz w:val="4"/>
        </w:rPr>
      </w:pPr>
    </w:p>
    <w:p w:rsidR="002F0131" w:rsidRPr="00A76706" w:rsidRDefault="00BB54D2" w:rsidP="00A7670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p>
    <w:p w:rsidR="002F0131" w:rsidRPr="00A76706" w:rsidRDefault="002F0131" w:rsidP="00EE6421">
      <w:pPr>
        <w:spacing w:after="200" w:line="276" w:lineRule="auto"/>
        <w:rPr>
          <w:rFonts w:ascii="Arial" w:eastAsia="Verdana" w:hAnsi="Arial" w:cs="Arial"/>
          <w:sz w:val="2"/>
          <w:szCs w:val="14"/>
        </w:rPr>
      </w:pP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is Prof. Dr. </w:t>
      </w:r>
      <w:proofErr w:type="spellStart"/>
      <w:r w:rsidRPr="00A76706">
        <w:rPr>
          <w:rFonts w:ascii="Arial" w:eastAsia="Verdana" w:hAnsi="Arial" w:cs="Arial"/>
          <w:sz w:val="16"/>
          <w:szCs w:val="14"/>
        </w:rPr>
        <w:t>Qufshe</w:t>
      </w:r>
      <w:proofErr w:type="spellEnd"/>
      <w:r w:rsidR="00707403">
        <w:rPr>
          <w:rFonts w:ascii="Arial" w:eastAsia="Verdana" w:hAnsi="Arial" w:cs="Arial"/>
          <w:sz w:val="16"/>
          <w:szCs w:val="14"/>
        </w:rPr>
        <w:t xml:space="preserve"> </w:t>
      </w:r>
      <w:proofErr w:type="spellStart"/>
      <w:r w:rsidRPr="00A76706">
        <w:rPr>
          <w:rFonts w:ascii="Arial" w:eastAsia="Verdana" w:hAnsi="Arial" w:cs="Arial"/>
          <w:sz w:val="16"/>
          <w:szCs w:val="14"/>
        </w:rPr>
        <w:t>Bardar</w:t>
      </w:r>
      <w:proofErr w:type="spellEnd"/>
      <w:r w:rsidR="00707403">
        <w:rPr>
          <w:rFonts w:ascii="Arial" w:eastAsia="Verdana" w:hAnsi="Arial" w:cs="Arial"/>
          <w:sz w:val="16"/>
          <w:szCs w:val="14"/>
        </w:rPr>
        <w:t xml:space="preserve"> </w:t>
      </w:r>
      <w:proofErr w:type="spellStart"/>
      <w:r w:rsidRPr="00A76706">
        <w:rPr>
          <w:rFonts w:ascii="Arial" w:eastAsia="Verdana" w:hAnsi="Arial" w:cs="Arial"/>
          <w:sz w:val="16"/>
          <w:szCs w:val="14"/>
        </w:rPr>
        <w:t>Oias</w:t>
      </w:r>
      <w:proofErr w:type="spellEnd"/>
      <w:r w:rsidR="000A03AF">
        <w:rPr>
          <w:rFonts w:ascii="Arial" w:eastAsia="Verdana" w:hAnsi="Arial" w:cs="Arial"/>
          <w:sz w:val="16"/>
          <w:szCs w:val="14"/>
        </w:rPr>
        <w:t xml:space="preserve"> </w:t>
      </w:r>
      <w:proofErr w:type="spellStart"/>
      <w:r w:rsidRPr="00A76706">
        <w:rPr>
          <w:rFonts w:ascii="Arial" w:eastAsia="Verdana" w:hAnsi="Arial" w:cs="Arial"/>
          <w:sz w:val="16"/>
          <w:szCs w:val="14"/>
        </w:rPr>
        <w:t>Fazlul</w:t>
      </w:r>
      <w:proofErr w:type="spellEnd"/>
      <w:r w:rsidR="00707403">
        <w:rPr>
          <w:rFonts w:ascii="Arial" w:eastAsia="Verdana" w:hAnsi="Arial" w:cs="Arial"/>
          <w:sz w:val="16"/>
          <w:szCs w:val="14"/>
        </w:rPr>
        <w:t xml:space="preserve"> </w:t>
      </w:r>
      <w:proofErr w:type="spellStart"/>
      <w:r w:rsidRPr="00A76706">
        <w:rPr>
          <w:rFonts w:ascii="Arial" w:eastAsia="Verdana" w:hAnsi="Arial" w:cs="Arial"/>
          <w:sz w:val="16"/>
          <w:szCs w:val="14"/>
        </w:rPr>
        <w:t>Baqui</w:t>
      </w:r>
      <w:proofErr w:type="spellEnd"/>
      <w:r w:rsidRPr="00A76706">
        <w:rPr>
          <w:rFonts w:ascii="Arial" w:eastAsia="Verdana" w:hAnsi="Arial" w:cs="Arial"/>
          <w:sz w:val="16"/>
          <w:szCs w:val="14"/>
        </w:rPr>
        <w:t>, Former Professor &amp; Head of the Department of Pharmacology &amp; Therapeutics and Project Director in Prime Medical College in Bangladesh for last six years. He has joined in MD</w:t>
      </w:r>
      <w:r w:rsidR="00B83AD9">
        <w:rPr>
          <w:rFonts w:ascii="Arial" w:eastAsia="Verdana" w:hAnsi="Arial" w:cs="Arial"/>
          <w:sz w:val="16"/>
          <w:szCs w:val="14"/>
        </w:rPr>
        <w:t xml:space="preserve"> </w:t>
      </w:r>
      <w:r w:rsidRPr="00A76706">
        <w:rPr>
          <w:rFonts w:ascii="Arial" w:eastAsia="Verdana" w:hAnsi="Arial" w:cs="Arial"/>
          <w:sz w:val="16"/>
          <w:szCs w:val="14"/>
        </w:rPr>
        <w:t xml:space="preserve">(AUCMS), Penang, Malaysia as </w:t>
      </w:r>
      <w:proofErr w:type="gramStart"/>
      <w:r w:rsidRPr="00A76706">
        <w:rPr>
          <w:rFonts w:ascii="Arial" w:eastAsia="Verdana" w:hAnsi="Arial" w:cs="Arial"/>
          <w:sz w:val="16"/>
          <w:szCs w:val="14"/>
        </w:rPr>
        <w:t>Professor &amp;</w:t>
      </w:r>
      <w:proofErr w:type="gramEnd"/>
      <w:r w:rsidRPr="00A76706">
        <w:rPr>
          <w:rFonts w:ascii="Arial" w:eastAsia="Verdana" w:hAnsi="Arial" w:cs="Arial"/>
          <w:sz w:val="16"/>
          <w:szCs w:val="14"/>
        </w:rPr>
        <w:t xml:space="preserve"> Head of the department of Pharmacology on 1</w:t>
      </w:r>
      <w:r w:rsidRPr="00A76706">
        <w:rPr>
          <w:rFonts w:ascii="Arial" w:eastAsia="Verdana" w:hAnsi="Arial" w:cs="Arial"/>
          <w:sz w:val="16"/>
          <w:szCs w:val="14"/>
          <w:vertAlign w:val="superscript"/>
        </w:rPr>
        <w:t>st</w:t>
      </w:r>
      <w:r w:rsidRPr="00A76706">
        <w:rPr>
          <w:rFonts w:ascii="Arial" w:eastAsia="Verdana" w:hAnsi="Arial" w:cs="Arial"/>
          <w:sz w:val="16"/>
          <w:szCs w:val="14"/>
        </w:rPr>
        <w:t xml:space="preserve"> April 2014. Currently he is working as Academic </w:t>
      </w:r>
      <w:r w:rsidR="002F2842" w:rsidRPr="00A76706">
        <w:rPr>
          <w:rFonts w:ascii="Arial" w:eastAsia="Verdana" w:hAnsi="Arial" w:cs="Arial"/>
          <w:sz w:val="16"/>
          <w:szCs w:val="14"/>
        </w:rPr>
        <w:t>coordinator</w:t>
      </w:r>
      <w:r w:rsidRPr="00A76706">
        <w:rPr>
          <w:rFonts w:ascii="Arial" w:eastAsia="Verdana" w:hAnsi="Arial" w:cs="Arial"/>
          <w:sz w:val="16"/>
          <w:szCs w:val="14"/>
        </w:rPr>
        <w:t>, Member of the review committee and Head of the department of Pharmacology and Therapeutics.</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has 30 years teaching experiences in the field of pharmacology and therapeutics. He has many publications in research activities published in National </w:t>
      </w:r>
      <w:r w:rsidR="00566890" w:rsidRPr="00A76706">
        <w:rPr>
          <w:rFonts w:ascii="Arial" w:eastAsia="Verdana" w:hAnsi="Arial" w:cs="Arial"/>
          <w:sz w:val="16"/>
          <w:szCs w:val="14"/>
        </w:rPr>
        <w:t xml:space="preserve">&amp; </w:t>
      </w:r>
      <w:proofErr w:type="spellStart"/>
      <w:r w:rsidR="00566890" w:rsidRPr="00A76706">
        <w:rPr>
          <w:rFonts w:ascii="Arial" w:eastAsia="Verdana" w:hAnsi="Arial" w:cs="Arial"/>
          <w:sz w:val="16"/>
          <w:szCs w:val="14"/>
        </w:rPr>
        <w:t>Internationaljournal</w:t>
      </w:r>
      <w:proofErr w:type="spellEnd"/>
      <w:r w:rsidR="00566890" w:rsidRPr="00A76706">
        <w:rPr>
          <w:rFonts w:ascii="Arial" w:eastAsia="Verdana" w:hAnsi="Arial" w:cs="Arial"/>
          <w:sz w:val="16"/>
          <w:szCs w:val="14"/>
        </w:rPr>
        <w:t xml:space="preserve"> of</w:t>
      </w:r>
      <w:r w:rsidRPr="00A76706">
        <w:rPr>
          <w:rFonts w:ascii="Arial" w:eastAsia="Verdana" w:hAnsi="Arial" w:cs="Arial"/>
          <w:sz w:val="16"/>
          <w:szCs w:val="14"/>
        </w:rPr>
        <w:t xml:space="preserve"> which he has presented in Oxford University, Cambridge University in UK and WHO </w:t>
      </w:r>
      <w:r w:rsidR="00566890" w:rsidRPr="00A76706">
        <w:rPr>
          <w:rFonts w:ascii="Arial" w:eastAsia="Verdana" w:hAnsi="Arial" w:cs="Arial"/>
          <w:sz w:val="16"/>
          <w:szCs w:val="14"/>
        </w:rPr>
        <w:t xml:space="preserve">conference </w:t>
      </w:r>
      <w:proofErr w:type="spellStart"/>
      <w:r w:rsidR="00566890" w:rsidRPr="00A76706">
        <w:rPr>
          <w:rFonts w:ascii="Arial" w:eastAsia="Verdana" w:hAnsi="Arial" w:cs="Arial"/>
          <w:sz w:val="16"/>
          <w:szCs w:val="14"/>
        </w:rPr>
        <w:t>Chaingmai</w:t>
      </w:r>
      <w:proofErr w:type="spellEnd"/>
      <w:r w:rsidRPr="00A76706">
        <w:rPr>
          <w:rFonts w:ascii="Arial" w:eastAsia="Verdana" w:hAnsi="Arial" w:cs="Arial"/>
          <w:sz w:val="16"/>
          <w:szCs w:val="14"/>
        </w:rPr>
        <w:t xml:space="preserve">, Thailand. </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He has attended many international conferences in Riyadh, Saudi Arabia, Malaysia, Thailand, UK and Bangladesh.</w:t>
      </w:r>
    </w:p>
    <w:p w:rsidR="00AE3E37" w:rsidRDefault="00A9710C">
      <w:pPr>
        <w:spacing w:before="62"/>
        <w:ind w:left="4217" w:right="4235"/>
        <w:jc w:val="center"/>
        <w:rPr>
          <w:rFonts w:ascii="Arial"/>
          <w:sz w:val="14"/>
        </w:rPr>
      </w:pPr>
      <w:r>
        <w:rPr>
          <w:rFonts w:ascii="Arial"/>
          <w:sz w:val="14"/>
        </w:rPr>
        <w:t xml:space="preserve">Email: </w:t>
      </w:r>
      <w:hyperlink r:id="rId13" w:history="1">
        <w:r w:rsidR="00566890" w:rsidRPr="00D22A4F">
          <w:rPr>
            <w:rStyle w:val="Hyperlink"/>
            <w:rFonts w:ascii="Arial"/>
            <w:sz w:val="14"/>
          </w:rPr>
          <w:t>fazlul.baqui@gmail.com</w:t>
        </w:r>
      </w:hyperlink>
    </w:p>
    <w:p w:rsidR="00AE3E37" w:rsidRDefault="00BB54D2">
      <w:pPr>
        <w:pStyle w:val="BodyText"/>
        <w:spacing w:before="2"/>
        <w:rPr>
          <w:rFonts w:ascii="Arial"/>
          <w:sz w:val="19"/>
        </w:rPr>
      </w:pPr>
      <w:r w:rsidRPr="00BB54D2">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5A78F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5A78FF">
          <w:type w:val="continuous"/>
          <w:pgSz w:w="11910" w:h="16840"/>
          <w:pgMar w:top="1740" w:right="600" w:bottom="568"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5E0" w:rsidRDefault="007755E0">
      <w:r>
        <w:separator/>
      </w:r>
    </w:p>
  </w:endnote>
  <w:endnote w:type="continuationSeparator" w:id="1">
    <w:p w:rsidR="007755E0" w:rsidRDefault="007755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B54D2">
    <w:pPr>
      <w:pStyle w:val="BodyText"/>
      <w:spacing w:line="14" w:lineRule="auto"/>
      <w:rPr>
        <w:sz w:val="20"/>
      </w:rPr>
    </w:pPr>
    <w:r w:rsidRPr="00BB54D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B54D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B54D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5E0" w:rsidRDefault="007755E0">
      <w:r>
        <w:separator/>
      </w:r>
    </w:p>
  </w:footnote>
  <w:footnote w:type="continuationSeparator" w:id="1">
    <w:p w:rsidR="007755E0" w:rsidRDefault="007755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B54D2">
    <w:pPr>
      <w:pStyle w:val="BodyText"/>
      <w:spacing w:line="14" w:lineRule="auto"/>
      <w:rPr>
        <w:sz w:val="20"/>
      </w:rPr>
    </w:pPr>
    <w:r w:rsidRPr="00BB54D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B54D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B3127"/>
    <w:multiLevelType w:val="hybridMultilevel"/>
    <w:tmpl w:val="B97C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506116"/>
    <w:multiLevelType w:val="hybridMultilevel"/>
    <w:tmpl w:val="C042458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2">
    <w:nsid w:val="31C80552"/>
    <w:multiLevelType w:val="hybridMultilevel"/>
    <w:tmpl w:val="CC0A5A2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C6A7ADF"/>
    <w:multiLevelType w:val="hybridMultilevel"/>
    <w:tmpl w:val="2AE4CA2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ADD65BE"/>
    <w:multiLevelType w:val="hybridMultilevel"/>
    <w:tmpl w:val="CF72CEE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4"/>
  </w:num>
  <w:num w:numId="3">
    <w:abstractNumId w:val="2"/>
  </w:num>
  <w:num w:numId="4">
    <w:abstractNumId w:val="5"/>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62D59"/>
    <w:rsid w:val="000A03AF"/>
    <w:rsid w:val="000E2911"/>
    <w:rsid w:val="001263DF"/>
    <w:rsid w:val="00174179"/>
    <w:rsid w:val="00211426"/>
    <w:rsid w:val="00292ED9"/>
    <w:rsid w:val="002A67A9"/>
    <w:rsid w:val="002D0337"/>
    <w:rsid w:val="002F0131"/>
    <w:rsid w:val="002F2842"/>
    <w:rsid w:val="003C63EB"/>
    <w:rsid w:val="003E1E3A"/>
    <w:rsid w:val="00404E5B"/>
    <w:rsid w:val="00414F7B"/>
    <w:rsid w:val="004355DC"/>
    <w:rsid w:val="004749B4"/>
    <w:rsid w:val="00494130"/>
    <w:rsid w:val="004D193A"/>
    <w:rsid w:val="004E567A"/>
    <w:rsid w:val="004F3523"/>
    <w:rsid w:val="00566890"/>
    <w:rsid w:val="005973B9"/>
    <w:rsid w:val="005A78FF"/>
    <w:rsid w:val="005B3A56"/>
    <w:rsid w:val="006060CE"/>
    <w:rsid w:val="0063497F"/>
    <w:rsid w:val="00640AD3"/>
    <w:rsid w:val="00693893"/>
    <w:rsid w:val="00707403"/>
    <w:rsid w:val="007755E0"/>
    <w:rsid w:val="007846E1"/>
    <w:rsid w:val="00797EA2"/>
    <w:rsid w:val="00873DF0"/>
    <w:rsid w:val="008756E6"/>
    <w:rsid w:val="009007EB"/>
    <w:rsid w:val="009B2D44"/>
    <w:rsid w:val="009C6E7F"/>
    <w:rsid w:val="00A07E82"/>
    <w:rsid w:val="00A76706"/>
    <w:rsid w:val="00A9710C"/>
    <w:rsid w:val="00AB17A9"/>
    <w:rsid w:val="00AE3E37"/>
    <w:rsid w:val="00AF5A4C"/>
    <w:rsid w:val="00B21A57"/>
    <w:rsid w:val="00B83AD9"/>
    <w:rsid w:val="00BB54D2"/>
    <w:rsid w:val="00C33602"/>
    <w:rsid w:val="00CD6F55"/>
    <w:rsid w:val="00D30940"/>
    <w:rsid w:val="00D61D32"/>
    <w:rsid w:val="00DE3104"/>
    <w:rsid w:val="00EA091C"/>
    <w:rsid w:val="00EA47B4"/>
    <w:rsid w:val="00EE6421"/>
    <w:rsid w:val="00F14EA1"/>
    <w:rsid w:val="00F51C02"/>
    <w:rsid w:val="00F72EEA"/>
    <w:rsid w:val="00F84CAE"/>
    <w:rsid w:val="00F84D70"/>
    <w:rsid w:val="00FC3732"/>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rsid w:val="00693893"/>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693893"/>
    <w:rPr>
      <w:b/>
      <w:bCs/>
    </w:rPr>
  </w:style>
  <w:style w:type="character" w:customStyle="1" w:styleId="UnresolvedMention">
    <w:name w:val="Unresolved Mention"/>
    <w:basedOn w:val="DefaultParagraphFont"/>
    <w:uiPriority w:val="99"/>
    <w:semiHidden/>
    <w:unhideWhenUsed/>
    <w:rsid w:val="00EE6421"/>
    <w:rPr>
      <w:color w:val="808080"/>
      <w:shd w:val="clear" w:color="auto" w:fill="E6E6E6"/>
    </w:rPr>
  </w:style>
  <w:style w:type="paragraph" w:styleId="NormalWeb">
    <w:name w:val="Normal (Web)"/>
    <w:basedOn w:val="Normal"/>
    <w:rsid w:val="00062D5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2953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62930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5730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medcentral.com/1471-2296/3/17/" TargetMode="External"/><Relationship Id="rId13" Type="http://schemas.openxmlformats.org/officeDocument/2006/relationships/hyperlink" Target="mailto:fazlul.baqui@gmail.com" TargetMode="External"/><Relationship Id="rId3" Type="http://schemas.openxmlformats.org/officeDocument/2006/relationships/settings" Target="settings.xml"/><Relationship Id="rId7" Type="http://schemas.openxmlformats.org/officeDocument/2006/relationships/hyperlink" Target="http://www.biomedcentral.com/1471-2296/3/17/" TargetMode="External"/><Relationship Id="rId12" Type="http://schemas.openxmlformats.org/officeDocument/2006/relationships/hyperlink" Target="https://www.ncbi.nlm.nih.gov/pubmed/182089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dnet3.who.int/icium/icium1997/posters/2p18_text.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10</cp:revision>
  <dcterms:created xsi:type="dcterms:W3CDTF">2018-12-01T02:25:00Z</dcterms:created>
  <dcterms:modified xsi:type="dcterms:W3CDTF">2019-11-20T04:31:00Z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