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672D" w:rsidRDefault="0059672D" w:rsidP="0059672D">
      <w:pPr>
        <w:pStyle w:val="Default"/>
      </w:pPr>
    </w:p>
    <w:p w:rsidR="0059672D" w:rsidRDefault="0059672D" w:rsidP="0059672D">
      <w:pPr>
        <w:pStyle w:val="Default"/>
        <w:rPr>
          <w:sz w:val="28"/>
          <w:szCs w:val="28"/>
        </w:rPr>
      </w:pPr>
      <w:r>
        <w:t xml:space="preserve"> </w:t>
      </w:r>
      <w:r>
        <w:rPr>
          <w:b/>
          <w:bCs/>
          <w:sz w:val="28"/>
          <w:szCs w:val="28"/>
        </w:rPr>
        <w:t xml:space="preserve">Evaluation of cardiac enzymes in early detection of acute </w:t>
      </w:r>
    </w:p>
    <w:p w:rsidR="0059672D" w:rsidRDefault="0059672D" w:rsidP="0059672D">
      <w:pPr>
        <w:pStyle w:val="a3"/>
        <w:spacing w:before="73" w:line="198" w:lineRule="exact"/>
        <w:ind w:left="100" w:right="5987"/>
        <w:rPr>
          <w:b/>
          <w:bCs/>
          <w:sz w:val="28"/>
          <w:szCs w:val="28"/>
        </w:rPr>
      </w:pPr>
      <w:r>
        <w:rPr>
          <w:b/>
          <w:bCs/>
          <w:sz w:val="28"/>
          <w:szCs w:val="28"/>
        </w:rPr>
        <w:t xml:space="preserve">myocardial infarction </w:t>
      </w:r>
    </w:p>
    <w:p w:rsidR="0059672D" w:rsidRDefault="0059672D" w:rsidP="0059672D">
      <w:pPr>
        <w:pStyle w:val="Default"/>
      </w:pPr>
    </w:p>
    <w:p w:rsidR="0059672D" w:rsidRDefault="0059672D" w:rsidP="0059672D">
      <w:pPr>
        <w:pStyle w:val="Default"/>
        <w:rPr>
          <w:sz w:val="16"/>
          <w:szCs w:val="16"/>
        </w:rPr>
      </w:pPr>
      <w:r>
        <w:t xml:space="preserve"> </w:t>
      </w:r>
      <w:r>
        <w:rPr>
          <w:sz w:val="23"/>
          <w:szCs w:val="23"/>
        </w:rPr>
        <w:t xml:space="preserve">Tarek D. Hussein </w:t>
      </w:r>
      <w:r>
        <w:rPr>
          <w:sz w:val="16"/>
          <w:szCs w:val="16"/>
        </w:rPr>
        <w:t xml:space="preserve"> </w:t>
      </w:r>
      <w:r>
        <w:rPr>
          <w:sz w:val="23"/>
          <w:szCs w:val="23"/>
        </w:rPr>
        <w:t>Yazeed Hamoud Al-Kahaf Al-Shammari</w:t>
      </w:r>
      <w:r>
        <w:rPr>
          <w:sz w:val="16"/>
          <w:szCs w:val="16"/>
        </w:rPr>
        <w:t xml:space="preserve"> </w:t>
      </w:r>
    </w:p>
    <w:p w:rsidR="00AE3E37" w:rsidRDefault="0059672D" w:rsidP="0059672D">
      <w:pPr>
        <w:pStyle w:val="a3"/>
        <w:rPr>
          <w:rFonts w:ascii="Arial"/>
          <w:sz w:val="20"/>
        </w:rPr>
      </w:pPr>
      <w:r>
        <w:rPr>
          <w:sz w:val="23"/>
          <w:szCs w:val="23"/>
        </w:rPr>
        <w:t xml:space="preserve">Yahia Dokhi Al Tamimi </w:t>
      </w:r>
      <w:r>
        <w:rPr>
          <w:sz w:val="16"/>
          <w:szCs w:val="16"/>
        </w:rPr>
        <w:t xml:space="preserve"> </w:t>
      </w:r>
      <w:r>
        <w:rPr>
          <w:sz w:val="23"/>
          <w:szCs w:val="23"/>
        </w:rPr>
        <w:t xml:space="preserve">Mostafa Rasool Al Turaifi </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59672D" w:rsidRPr="0059672D" w:rsidRDefault="0059672D" w:rsidP="0059672D">
      <w:pPr>
        <w:jc w:val="both"/>
        <w:rPr>
          <w:rFonts w:asciiTheme="majorBidi" w:hAnsiTheme="majorBidi" w:cstheme="majorBidi"/>
          <w:sz w:val="24"/>
          <w:szCs w:val="24"/>
        </w:rPr>
      </w:pPr>
      <w:r w:rsidRPr="0059672D">
        <w:rPr>
          <w:rFonts w:asciiTheme="majorBidi" w:hAnsiTheme="majorBidi" w:cstheme="majorBidi"/>
          <w:b/>
          <w:bCs/>
          <w:sz w:val="24"/>
          <w:szCs w:val="24"/>
        </w:rPr>
        <w:t>Background:</w:t>
      </w:r>
      <w:r w:rsidRPr="0059672D">
        <w:rPr>
          <w:rFonts w:asciiTheme="majorBidi" w:hAnsiTheme="majorBidi" w:cstheme="majorBidi"/>
          <w:sz w:val="24"/>
          <w:szCs w:val="24"/>
        </w:rPr>
        <w:t xml:space="preserve"> Acute myocardial infarction (AMI), represent a diagnostic challenge. Diagnosis of AMI is usually established based on the clinical symptoms, electrocardiographic (ECG) changes and the activities of cardiac enzymes such as creatine kinase (CK) and its isoenzyme MB (CK-MB) activities. </w:t>
      </w:r>
    </w:p>
    <w:p w:rsidR="0059672D" w:rsidRPr="0059672D" w:rsidRDefault="0059672D" w:rsidP="0059672D">
      <w:pPr>
        <w:jc w:val="both"/>
        <w:rPr>
          <w:rFonts w:asciiTheme="majorBidi" w:hAnsiTheme="majorBidi" w:cstheme="majorBidi"/>
          <w:sz w:val="24"/>
          <w:szCs w:val="24"/>
        </w:rPr>
      </w:pPr>
      <w:r w:rsidRPr="0059672D">
        <w:rPr>
          <w:rFonts w:asciiTheme="majorBidi" w:hAnsiTheme="majorBidi" w:cstheme="majorBidi"/>
          <w:b/>
          <w:bCs/>
          <w:sz w:val="24"/>
          <w:szCs w:val="24"/>
        </w:rPr>
        <w:t>Objectives:</w:t>
      </w:r>
      <w:r w:rsidRPr="0059672D">
        <w:rPr>
          <w:rFonts w:asciiTheme="majorBidi" w:hAnsiTheme="majorBidi" w:cstheme="majorBidi"/>
          <w:sz w:val="24"/>
          <w:szCs w:val="24"/>
        </w:rPr>
        <w:t xml:space="preserve"> To assess the potential role of serum cardiac markers for early detection of AMI in Hail population, Saudi Arabia. </w:t>
      </w:r>
    </w:p>
    <w:p w:rsidR="0059672D" w:rsidRPr="0059672D" w:rsidRDefault="0059672D" w:rsidP="0059672D">
      <w:pPr>
        <w:jc w:val="both"/>
        <w:rPr>
          <w:rFonts w:asciiTheme="majorBidi" w:hAnsiTheme="majorBidi" w:cstheme="majorBidi"/>
          <w:sz w:val="24"/>
          <w:szCs w:val="24"/>
        </w:rPr>
      </w:pPr>
      <w:r w:rsidRPr="0059672D">
        <w:rPr>
          <w:rFonts w:asciiTheme="majorBidi" w:hAnsiTheme="majorBidi" w:cstheme="majorBidi"/>
          <w:b/>
          <w:bCs/>
          <w:sz w:val="24"/>
          <w:szCs w:val="24"/>
        </w:rPr>
        <w:t>Methods:</w:t>
      </w:r>
      <w:r w:rsidRPr="0059672D">
        <w:rPr>
          <w:rFonts w:asciiTheme="majorBidi" w:hAnsiTheme="majorBidi" w:cstheme="majorBidi"/>
          <w:sz w:val="24"/>
          <w:szCs w:val="24"/>
        </w:rPr>
        <w:t xml:space="preserve"> Serum levels of CKBM, CK and lactate dehydrogenase (LDH) were measured in 111 patients with chest pain included 40 with AMI and 71 without AMI served as control. Receiver operating characteristic (ROC) curve analysis was performed to assess the utility of these enzymes as biomarkers for early diagnosing AMI.</w:t>
      </w:r>
    </w:p>
    <w:p w:rsidR="0059672D" w:rsidRPr="0059672D" w:rsidRDefault="0059672D" w:rsidP="0059672D">
      <w:pPr>
        <w:jc w:val="both"/>
        <w:rPr>
          <w:rFonts w:asciiTheme="majorBidi" w:hAnsiTheme="majorBidi" w:cstheme="majorBidi"/>
          <w:sz w:val="24"/>
          <w:szCs w:val="24"/>
        </w:rPr>
      </w:pPr>
      <w:r w:rsidRPr="0059672D">
        <w:rPr>
          <w:rFonts w:asciiTheme="majorBidi" w:hAnsiTheme="majorBidi" w:cstheme="majorBidi"/>
          <w:b/>
          <w:bCs/>
          <w:sz w:val="24"/>
          <w:szCs w:val="24"/>
        </w:rPr>
        <w:t>Results:</w:t>
      </w:r>
      <w:r w:rsidRPr="0059672D">
        <w:rPr>
          <w:rFonts w:asciiTheme="majorBidi" w:hAnsiTheme="majorBidi" w:cstheme="majorBidi"/>
          <w:sz w:val="24"/>
          <w:szCs w:val="24"/>
        </w:rPr>
        <w:t xml:space="preserve"> The area under the receiver operating (AUC) curve values were: CK; 0.60 (p &gt; 0.05), CK-MB; 0.817 (p &lt; 0.001) and LDH; 0.655 (p &lt; 0.01). CK-MB had the highest AUC of all. The sensitivity and specificity of CK-MB were 72.5% and 80.28% at the optimal cut off value of 36.5 U/L whereas for LDH, sensitivity and specificity were 62.5% and 70.42% at 272 U/L as an optimal cut off. The simultaneous use of both markers increased the sensitivity and specificity to 82.5% and 85.92%, respectively. </w:t>
      </w:r>
    </w:p>
    <w:p w:rsidR="0059672D" w:rsidRPr="0059672D" w:rsidRDefault="0059672D" w:rsidP="0059672D">
      <w:pPr>
        <w:jc w:val="both"/>
        <w:rPr>
          <w:rFonts w:asciiTheme="majorBidi" w:hAnsiTheme="majorBidi" w:cstheme="majorBidi"/>
          <w:sz w:val="24"/>
          <w:szCs w:val="24"/>
        </w:rPr>
      </w:pPr>
      <w:r w:rsidRPr="0059672D">
        <w:rPr>
          <w:rFonts w:asciiTheme="majorBidi" w:hAnsiTheme="majorBidi" w:cstheme="majorBidi"/>
          <w:b/>
          <w:bCs/>
          <w:sz w:val="24"/>
          <w:szCs w:val="24"/>
        </w:rPr>
        <w:t xml:space="preserve">Conclusion: </w:t>
      </w:r>
      <w:r w:rsidRPr="0059672D">
        <w:rPr>
          <w:rFonts w:asciiTheme="majorBidi" w:hAnsiTheme="majorBidi" w:cstheme="majorBidi"/>
          <w:sz w:val="24"/>
          <w:szCs w:val="24"/>
        </w:rPr>
        <w:t>Taking together, the study demonstrated that serum CKBM is a valuable marker for early detection of AMI, but it was found to be much more valuable when analyzed with serum LDH. Key words: acute myocardial infarction, CK, CK-MB, LDH, ROC analysis.</w:t>
      </w:r>
    </w:p>
    <w:p w:rsidR="00AE3E37" w:rsidRDefault="00A9710C">
      <w:pPr>
        <w:pStyle w:val="3"/>
        <w:spacing w:before="74"/>
      </w:pPr>
      <w:r>
        <w:rPr>
          <w:b w:val="0"/>
        </w:rPr>
        <w:br w:type="column"/>
      </w:r>
      <w:r>
        <w:rPr>
          <w:color w:val="BF5A14"/>
        </w:rPr>
        <w:lastRenderedPageBreak/>
        <w:t>Image</w:t>
      </w:r>
    </w:p>
    <w:p w:rsidR="00AE3E37" w:rsidRDefault="0059672D">
      <w:pPr>
        <w:pStyle w:val="a3"/>
        <w:spacing w:before="2"/>
        <w:rPr>
          <w:rFonts w:ascii="Arial"/>
          <w:b/>
          <w:sz w:val="16"/>
        </w:rPr>
      </w:pPr>
      <w:r>
        <w:rPr>
          <w:rFonts w:ascii="Arial"/>
          <w:b/>
          <w:noProof/>
          <w:sz w:val="16"/>
        </w:rPr>
        <w:drawing>
          <wp:inline distT="0" distB="0" distL="0" distR="0">
            <wp:extent cx="3075279" cy="1923897"/>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3077743" cy="1925439"/>
                    </a:xfrm>
                    <a:prstGeom prst="rect">
                      <a:avLst/>
                    </a:prstGeom>
                    <a:noFill/>
                    <a:ln w="9525">
                      <a:noFill/>
                      <a:miter lim="800000"/>
                      <a:headEnd/>
                      <a:tailEnd/>
                    </a:ln>
                  </pic:spPr>
                </pic:pic>
              </a:graphicData>
            </a:graphic>
          </wp:inline>
        </w:drawing>
      </w:r>
    </w:p>
    <w:p w:rsidR="0059672D" w:rsidRPr="0059672D" w:rsidRDefault="0059672D" w:rsidP="005973B9">
      <w:pPr>
        <w:spacing w:line="204" w:lineRule="exact"/>
        <w:rPr>
          <w:rFonts w:ascii="Arial"/>
          <w:bCs/>
          <w:sz w:val="20"/>
        </w:rPr>
      </w:pPr>
      <w:r w:rsidRPr="0059672D">
        <w:rPr>
          <w:rFonts w:ascii="Arial"/>
          <w:bCs/>
          <w:sz w:val="20"/>
        </w:rPr>
        <w:t>Fig.1 ROC analysis of cardiac enzymes in early diagnosis of AMI</w:t>
      </w:r>
      <w:r w:rsidR="005973B9" w:rsidRPr="0059672D">
        <w:rPr>
          <w:rFonts w:ascii="Arial"/>
          <w:bCs/>
          <w:sz w:val="20"/>
        </w:rPr>
        <w:br/>
      </w:r>
    </w:p>
    <w:p w:rsidR="005973B9" w:rsidRDefault="005973B9" w:rsidP="005973B9">
      <w:pPr>
        <w:spacing w:line="204" w:lineRule="exact"/>
        <w:rPr>
          <w:rFonts w:ascii="Arial"/>
          <w:b/>
          <w:sz w:val="20"/>
        </w:rPr>
      </w:pPr>
      <w:r>
        <w:rPr>
          <w:rFonts w:ascii="Arial"/>
          <w:b/>
          <w:color w:val="BF5A14"/>
          <w:sz w:val="20"/>
        </w:rPr>
        <w:t>Recent Publications (minimum 5)</w:t>
      </w:r>
    </w:p>
    <w:p w:rsidR="0059672D" w:rsidRPr="00647480" w:rsidRDefault="0059672D" w:rsidP="0059672D">
      <w:pPr>
        <w:pStyle w:val="Default"/>
        <w:jc w:val="both"/>
        <w:rPr>
          <w:rFonts w:asciiTheme="majorBidi" w:hAnsiTheme="majorBidi" w:cstheme="majorBidi"/>
          <w:sz w:val="22"/>
          <w:szCs w:val="22"/>
        </w:rPr>
      </w:pPr>
      <w:r w:rsidRPr="00647480">
        <w:rPr>
          <w:rFonts w:asciiTheme="majorBidi" w:hAnsiTheme="majorBidi" w:cstheme="majorBidi"/>
          <w:sz w:val="22"/>
          <w:szCs w:val="22"/>
        </w:rPr>
        <w:t xml:space="preserve">1- Ramasamy R, Murugaiyan SB, Gopal N, Shalini R. Prospect of serum magnesium and an electrolyte panel as an adjuvant cardiac biomarker in the management of acute myocardial infarction J Clin Diag Res,7(5): 817-820, 2013. </w:t>
      </w:r>
    </w:p>
    <w:p w:rsidR="00AE3E37" w:rsidRPr="00647480" w:rsidRDefault="0059672D" w:rsidP="0059672D">
      <w:pPr>
        <w:tabs>
          <w:tab w:val="left" w:pos="384"/>
        </w:tabs>
        <w:ind w:right="117"/>
        <w:jc w:val="both"/>
        <w:rPr>
          <w:rFonts w:asciiTheme="majorBidi" w:hAnsiTheme="majorBidi" w:cstheme="majorBidi"/>
        </w:rPr>
      </w:pPr>
      <w:r w:rsidRPr="00647480">
        <w:rPr>
          <w:rFonts w:asciiTheme="majorBidi" w:hAnsiTheme="majorBidi" w:cstheme="majorBidi"/>
        </w:rPr>
        <w:t>2-  Shilpa P S, Saurabh GS, Piyush P, Shivraj AS, Patil O, Khatri M. A Study of electrolyte imbalance in acute myocardial infarction patients at a tertiary care hospital in Western Maharashtra. Intern J Contemporary Med Res 3(12):77-83, 2015.</w:t>
      </w:r>
    </w:p>
    <w:p w:rsidR="0059672D" w:rsidRPr="00647480" w:rsidRDefault="0059672D">
      <w:pPr>
        <w:spacing w:line="200" w:lineRule="exact"/>
        <w:jc w:val="both"/>
        <w:rPr>
          <w:rFonts w:asciiTheme="majorBidi" w:hAnsiTheme="majorBidi" w:cstheme="majorBidi"/>
        </w:rPr>
      </w:pPr>
      <w:r w:rsidRPr="00647480">
        <w:rPr>
          <w:rFonts w:asciiTheme="majorBidi" w:hAnsiTheme="majorBidi" w:cstheme="majorBidi"/>
        </w:rPr>
        <w:t>3- Abu Marzoq LF, Jaber WH, Azzam DK. Electrolyte level changes in acute myocardial infarction patients as compared to healthy individuals in Khan Younis Governorate, Gaza Strip. Advances in Biochem,4(2):9-15, 2016.</w:t>
      </w:r>
    </w:p>
    <w:p w:rsidR="0059672D" w:rsidRPr="00647480" w:rsidRDefault="0059672D">
      <w:pPr>
        <w:spacing w:line="200" w:lineRule="exact"/>
        <w:jc w:val="both"/>
        <w:rPr>
          <w:rFonts w:asciiTheme="majorBidi" w:hAnsiTheme="majorBidi" w:cstheme="majorBidi"/>
        </w:rPr>
      </w:pPr>
      <w:r w:rsidRPr="00647480">
        <w:rPr>
          <w:rFonts w:asciiTheme="majorBidi" w:hAnsiTheme="majorBidi" w:cstheme="majorBidi"/>
        </w:rPr>
        <w:t>4- Jeldsen K K. Hypokalemia and sudden cardiac death, Exp Clin Cardiol, 15(4): e96–e99,2010.</w:t>
      </w:r>
    </w:p>
    <w:p w:rsidR="0059672D" w:rsidRPr="00647480" w:rsidRDefault="0059672D" w:rsidP="00647480">
      <w:pPr>
        <w:spacing w:line="200" w:lineRule="exact"/>
        <w:jc w:val="both"/>
        <w:rPr>
          <w:rFonts w:asciiTheme="majorBidi" w:hAnsiTheme="majorBidi" w:cstheme="majorBidi"/>
        </w:rPr>
        <w:sectPr w:rsidR="0059672D" w:rsidRPr="00647480">
          <w:type w:val="continuous"/>
          <w:pgSz w:w="11910" w:h="16840"/>
          <w:pgMar w:top="1740" w:right="600" w:bottom="840" w:left="620" w:header="720" w:footer="720" w:gutter="0"/>
          <w:cols w:num="2" w:space="720" w:equalWidth="0">
            <w:col w:w="5214" w:space="138"/>
            <w:col w:w="5338"/>
          </w:cols>
        </w:sectPr>
      </w:pPr>
      <w:r w:rsidRPr="00647480">
        <w:rPr>
          <w:rFonts w:asciiTheme="majorBidi" w:hAnsiTheme="majorBidi" w:cstheme="majorBidi"/>
        </w:rPr>
        <w:t>5- Kummar R, Indrayan A. Receiver operating characteristic (ROC) curve for medical researchers. Indian Pediatr, 48:277-89,2011.</w:t>
      </w:r>
    </w:p>
    <w:p w:rsidR="00AE3E37" w:rsidRPr="00647480" w:rsidRDefault="00AE3E37">
      <w:pPr>
        <w:pStyle w:val="a3"/>
        <w:rPr>
          <w:rFonts w:asciiTheme="majorBidi" w:hAnsiTheme="majorBidi" w:cstheme="majorBidi"/>
          <w:sz w:val="22"/>
          <w:szCs w:val="22"/>
        </w:rPr>
      </w:pPr>
    </w:p>
    <w:p w:rsidR="00AE3E37" w:rsidRDefault="00FF0380">
      <w:pPr>
        <w:pStyle w:val="a3"/>
        <w:spacing w:line="40" w:lineRule="exact"/>
        <w:ind w:left="2202"/>
        <w:rPr>
          <w:rFonts w:ascii="Calibri"/>
          <w:sz w:val="4"/>
        </w:rPr>
      </w:pPr>
      <w:r w:rsidRPr="00FF0380">
        <w:rPr>
          <w:rFonts w:ascii="Calibri"/>
          <w:noProof/>
          <w:sz w:val="4"/>
          <w:lang w:val="en-IN" w:eastAsia="en-IN"/>
        </w:rPr>
      </w:r>
      <w:r w:rsidRPr="00FF0380">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647480">
      <w:pPr>
        <w:spacing w:before="92"/>
        <w:ind w:right="4234"/>
        <w:rPr>
          <w:rFonts w:ascii="Arial"/>
        </w:rPr>
      </w:pPr>
      <w:r>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647480" w:rsidRDefault="00A9710C" w:rsidP="00647480">
      <w:pPr>
        <w:spacing w:before="62"/>
        <w:ind w:left="4217" w:right="4235"/>
        <w:jc w:val="center"/>
      </w:pPr>
      <w:r>
        <w:rPr>
          <w:rFonts w:ascii="Arial"/>
          <w:sz w:val="14"/>
        </w:rPr>
        <w:t xml:space="preserve">Email: </w:t>
      </w:r>
      <w:r w:rsidR="000B3F76">
        <w:rPr>
          <w:rFonts w:ascii="Arial"/>
          <w:sz w:val="14"/>
        </w:rPr>
        <w:t>yazeed.hamoud@yahoo.com</w:t>
      </w:r>
    </w:p>
    <w:p w:rsidR="00827B1F" w:rsidRPr="00827B1F" w:rsidRDefault="00827B1F" w:rsidP="000B3F76">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w:t>
      </w:r>
      <w:r w:rsidR="00647480">
        <w:rPr>
          <w:rStyle w:val="Hyperlink"/>
          <w:rFonts w:ascii="Arial"/>
          <w:color w:val="auto"/>
          <w:sz w:val="14"/>
          <w:u w:val="none"/>
        </w:rPr>
        <w:t>966</w:t>
      </w:r>
      <w:r w:rsidR="000B3F76">
        <w:rPr>
          <w:rStyle w:val="Hyperlink"/>
          <w:rFonts w:ascii="Arial"/>
          <w:color w:val="auto"/>
          <w:sz w:val="14"/>
          <w:u w:val="none"/>
        </w:rPr>
        <w:t>549323555</w:t>
      </w:r>
    </w:p>
    <w:p w:rsidR="00AE3E37" w:rsidRDefault="00FF0380">
      <w:pPr>
        <w:pStyle w:val="a3"/>
        <w:spacing w:before="2"/>
        <w:rPr>
          <w:rFonts w:ascii="Arial"/>
          <w:sz w:val="19"/>
        </w:rPr>
      </w:pPr>
      <w:r w:rsidRPr="00FF0380">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4B0A" w:rsidRDefault="000E4B0A">
      <w:r>
        <w:separator/>
      </w:r>
    </w:p>
  </w:endnote>
  <w:endnote w:type="continuationSeparator" w:id="1">
    <w:p w:rsidR="000E4B0A" w:rsidRDefault="000E4B0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F0380">
    <w:pPr>
      <w:pStyle w:val="a3"/>
      <w:spacing w:line="14" w:lineRule="auto"/>
      <w:rPr>
        <w:sz w:val="20"/>
      </w:rPr>
    </w:pPr>
    <w:r w:rsidRPr="00FF0380">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FF0380">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FF0380">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4B0A" w:rsidRDefault="000E4B0A">
      <w:r>
        <w:separator/>
      </w:r>
    </w:p>
  </w:footnote>
  <w:footnote w:type="continuationSeparator" w:id="1">
    <w:p w:rsidR="000E4B0A" w:rsidRDefault="000E4B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F0380">
    <w:pPr>
      <w:pStyle w:val="a3"/>
      <w:spacing w:line="14" w:lineRule="auto"/>
      <w:rPr>
        <w:sz w:val="20"/>
      </w:rPr>
    </w:pPr>
    <w:r w:rsidRPr="00FF0380">
      <w:rPr>
        <w:noProof/>
        <w:lang w:val="en-IN" w:eastAsia="en-IN"/>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04D08"/>
    <w:rsid w:val="000642C6"/>
    <w:rsid w:val="00065718"/>
    <w:rsid w:val="000B3F76"/>
    <w:rsid w:val="000E2911"/>
    <w:rsid w:val="000E4B0A"/>
    <w:rsid w:val="001263DF"/>
    <w:rsid w:val="002220FB"/>
    <w:rsid w:val="00292ED9"/>
    <w:rsid w:val="00404E5B"/>
    <w:rsid w:val="00414F7B"/>
    <w:rsid w:val="00430BE9"/>
    <w:rsid w:val="004355DC"/>
    <w:rsid w:val="004749B4"/>
    <w:rsid w:val="00494130"/>
    <w:rsid w:val="004F3523"/>
    <w:rsid w:val="0059672D"/>
    <w:rsid w:val="005973B9"/>
    <w:rsid w:val="005B3A56"/>
    <w:rsid w:val="006060CE"/>
    <w:rsid w:val="0063497F"/>
    <w:rsid w:val="00647480"/>
    <w:rsid w:val="006910C5"/>
    <w:rsid w:val="006F3BE3"/>
    <w:rsid w:val="00827B1F"/>
    <w:rsid w:val="00873DF0"/>
    <w:rsid w:val="008756E6"/>
    <w:rsid w:val="009B2D44"/>
    <w:rsid w:val="00A07E82"/>
    <w:rsid w:val="00A9710C"/>
    <w:rsid w:val="00AE3E37"/>
    <w:rsid w:val="00B21A57"/>
    <w:rsid w:val="00C33602"/>
    <w:rsid w:val="00C667AF"/>
    <w:rsid w:val="00CC00DB"/>
    <w:rsid w:val="00CC2D57"/>
    <w:rsid w:val="00CD6F55"/>
    <w:rsid w:val="00DE3104"/>
    <w:rsid w:val="00E029EB"/>
    <w:rsid w:val="00F72EEA"/>
    <w:rsid w:val="00F84CAE"/>
    <w:rsid w:val="00FF038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رأس صفحة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تذييل صفحة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Char">
    <w:name w:val="نص أساسي Char"/>
    <w:basedOn w:val="a0"/>
    <w:link w:val="a3"/>
    <w:uiPriority w:val="1"/>
    <w:rsid w:val="005973B9"/>
    <w:rPr>
      <w:rFonts w:ascii="Tw Cen MT" w:eastAsia="Tw Cen MT" w:hAnsi="Tw Cen MT" w:cs="Tw Cen MT"/>
      <w:sz w:val="18"/>
      <w:szCs w:val="18"/>
    </w:rPr>
  </w:style>
  <w:style w:type="paragraph" w:customStyle="1" w:styleId="Default">
    <w:name w:val="Default"/>
    <w:rsid w:val="0059672D"/>
    <w:pPr>
      <w:widowControl/>
      <w:autoSpaceDE w:val="0"/>
      <w:autoSpaceDN w:val="0"/>
      <w:adjustRightInd w:val="0"/>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423</Words>
  <Characters>2413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yazeeed ALSHAMMARI</cp:lastModifiedBy>
  <cp:revision>3</cp:revision>
  <dcterms:created xsi:type="dcterms:W3CDTF">2017-04-15T11:13:00Z</dcterms:created>
  <dcterms:modified xsi:type="dcterms:W3CDTF">2017-04-16T12:51:00Z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