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LhgqbjAdvTTb8864ccf.B" w:hAnsi="LhgqbjAdvTTb8864ccf.B" w:cs="LhgqbjAdvTTb8864ccf.B"/>
          <w:color w:val="131413"/>
          <w:sz w:val="35"/>
          <w:szCs w:val="35"/>
        </w:rPr>
      </w:pPr>
      <w:r>
        <w:rPr>
          <w:rFonts w:ascii="LhgqbjAdvTTb8864ccf.B" w:hAnsi="LhgqbjAdvTTb8864ccf.B" w:cs="LhgqbjAdvTTb8864ccf.B"/>
          <w:color w:val="131413"/>
          <w:sz w:val="35"/>
          <w:szCs w:val="35"/>
        </w:rPr>
        <w:t>Quercetin and Vitamin C Mitigate Cobalt Chloride-Induced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LhgqbjAdvTTb8864ccf.B" w:hAnsi="LhgqbjAdvTTb8864ccf.B" w:cs="LhgqbjAdvTTb8864ccf.B"/>
          <w:color w:val="131413"/>
          <w:sz w:val="35"/>
          <w:szCs w:val="35"/>
        </w:rPr>
      </w:pPr>
      <w:r>
        <w:rPr>
          <w:rFonts w:ascii="LhgqbjAdvTTb8864ccf.B" w:hAnsi="LhgqbjAdvTTb8864ccf.B" w:cs="LhgqbjAdvTTb8864ccf.B"/>
          <w:color w:val="131413"/>
          <w:sz w:val="35"/>
          <w:szCs w:val="35"/>
        </w:rPr>
        <w:t>Hypertension through Reduction in Oxidative Stress and Nuclear</w:t>
      </w:r>
      <w:r w:rsidR="00E67E01">
        <w:rPr>
          <w:rFonts w:ascii="LhgqbjAdvTTb8864ccf.B" w:hAnsi="LhgqbjAdvTTb8864ccf.B" w:cs="LhgqbjAdvTTb8864ccf.B"/>
          <w:color w:val="131413"/>
          <w:sz w:val="35"/>
          <w:szCs w:val="35"/>
        </w:rPr>
        <w:t xml:space="preserve"> </w:t>
      </w:r>
      <w:r>
        <w:rPr>
          <w:rFonts w:ascii="LhgqbjAdvTTb8864ccf.B" w:hAnsi="LhgqbjAdvTTb8864ccf.B" w:cs="LhgqbjAdvTTb8864ccf.B"/>
          <w:color w:val="131413"/>
          <w:sz w:val="35"/>
          <w:szCs w:val="35"/>
        </w:rPr>
        <w:t>Factor Kappa Beta (NF-Kb) Expression in Experimental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LhgqbjAdvTTb8864ccf.B" w:hAnsi="LhgqbjAdvTTb8864ccf.B" w:cs="LhgqbjAdvTTb8864ccf.B"/>
          <w:color w:val="131413"/>
          <w:sz w:val="35"/>
          <w:szCs w:val="35"/>
        </w:rPr>
      </w:pPr>
      <w:r>
        <w:rPr>
          <w:rFonts w:ascii="LhgqbjAdvTTb8864ccf.B" w:hAnsi="LhgqbjAdvTTb8864ccf.B" w:cs="LhgqbjAdvTTb8864ccf.B"/>
          <w:color w:val="131413"/>
          <w:sz w:val="35"/>
          <w:szCs w:val="35"/>
        </w:rPr>
        <w:t>Rat Model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YsvbkpAdvP0005" w:hAnsi="YsvbkpAdvP0005" w:cs="YsvbkpAdvP0005"/>
          <w:color w:val="131413"/>
          <w:sz w:val="16"/>
          <w:szCs w:val="16"/>
        </w:rPr>
      </w:pP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Temitayo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</w:t>
      </w: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Olabisi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Ajibade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 xml:space="preserve">1 </w:t>
      </w:r>
      <w:r>
        <w:rPr>
          <w:rFonts w:ascii="YsvbkpAdvP0005" w:hAnsi="YsvbkpAdvP0005" w:cs="YsvbkpAdvP0005"/>
          <w:color w:val="131413"/>
          <w:sz w:val="16"/>
          <w:szCs w:val="16"/>
        </w:rPr>
        <w:t xml:space="preserve">&amp; </w:t>
      </w: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Ademola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</w:t>
      </w: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Adetokunbo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</w:t>
      </w: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Oyagbemi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 xml:space="preserve">1 </w:t>
      </w:r>
      <w:r>
        <w:rPr>
          <w:rFonts w:ascii="YsvbkpAdvP0005" w:hAnsi="YsvbkpAdvP0005" w:cs="YsvbkpAdvP0005"/>
          <w:color w:val="131413"/>
          <w:sz w:val="16"/>
          <w:szCs w:val="16"/>
        </w:rPr>
        <w:t>&amp;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YsvbkpAdvP0005" w:hAnsi="YsvbkpAdvP0005" w:cs="YsvbkpAdvP0005"/>
          <w:color w:val="131413"/>
          <w:sz w:val="16"/>
          <w:szCs w:val="16"/>
        </w:rPr>
      </w:pP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Temidayo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</w:t>
      </w: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Olutayo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Omobowale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 xml:space="preserve">2 </w:t>
      </w:r>
      <w:r>
        <w:rPr>
          <w:rFonts w:ascii="YsvbkpAdvP0005" w:hAnsi="YsvbkpAdvP0005" w:cs="YsvbkpAdvP0005"/>
          <w:color w:val="131413"/>
          <w:sz w:val="16"/>
          <w:szCs w:val="16"/>
        </w:rPr>
        <w:t xml:space="preserve">&amp; </w:t>
      </w: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Ebunoluwa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</w:t>
      </w: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Racheal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Asenuga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 xml:space="preserve">3 </w:t>
      </w:r>
      <w:r>
        <w:rPr>
          <w:rFonts w:ascii="YsvbkpAdvP0005" w:hAnsi="YsvbkpAdvP0005" w:cs="YsvbkpAdvP0005"/>
          <w:color w:val="131413"/>
          <w:sz w:val="16"/>
          <w:szCs w:val="16"/>
        </w:rPr>
        <w:t>&amp;</w:t>
      </w:r>
    </w:p>
    <w:p w:rsidR="00405A06" w:rsidRDefault="00C13A4A" w:rsidP="00C13A4A">
      <w:pPr>
        <w:rPr>
          <w:rFonts w:ascii="LhgqbjAdvTTb8864ccf.B" w:hAnsi="LhgqbjAdvTTb8864ccf.B" w:cs="LhgqbjAdvTTb8864ccf.B"/>
          <w:color w:val="131413"/>
          <w:sz w:val="13"/>
          <w:szCs w:val="13"/>
        </w:rPr>
      </w:pP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Kabirat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</w:t>
      </w:r>
      <w:proofErr w:type="spellStart"/>
      <w:r>
        <w:rPr>
          <w:rFonts w:ascii="LhgqbjAdvTTb8864ccf.B" w:hAnsi="LhgqbjAdvTTb8864ccf.B" w:cs="LhgqbjAdvTTb8864ccf.B"/>
          <w:color w:val="131413"/>
          <w:sz w:val="20"/>
          <w:szCs w:val="20"/>
        </w:rPr>
        <w:t>Oluwaseun</w:t>
      </w:r>
      <w:proofErr w:type="spellEnd"/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 Adigun</w:t>
      </w:r>
      <w:r>
        <w:rPr>
          <w:rFonts w:ascii="LhgqbjAdvTTb8864ccf.B" w:hAnsi="LhgqbjAdvTTb8864ccf.B" w:cs="LhgqbjAdvTTb8864ccf.B"/>
          <w:color w:val="131413"/>
          <w:sz w:val="13"/>
          <w:szCs w:val="13"/>
        </w:rPr>
        <w:t>1</w:t>
      </w:r>
    </w:p>
    <w:p w:rsidR="00C13A4A" w:rsidRDefault="00C13A4A" w:rsidP="00C13A4A">
      <w:pPr>
        <w:rPr>
          <w:rFonts w:ascii="LhgqbjAdvTTb8864ccf.B" w:hAnsi="LhgqbjAdvTTb8864ccf.B" w:cs="LhgqbjAdvTTb8864ccf.B"/>
          <w:color w:val="131413"/>
          <w:sz w:val="13"/>
          <w:szCs w:val="13"/>
        </w:rPr>
      </w:pP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RgmxcmAdvTT3713a231" w:hAnsi="RgmxcmAdvTT3713a231" w:cs="RgmxcmAdvTT3713a231"/>
          <w:color w:val="131413"/>
          <w:sz w:val="20"/>
          <w:szCs w:val="20"/>
        </w:rPr>
      </w:pPr>
      <w:r>
        <w:rPr>
          <w:rFonts w:ascii="RgmxcmAdvTT3713a231" w:hAnsi="RgmxcmAdvTT3713a231" w:cs="RgmxcmAdvTT3713a231"/>
          <w:color w:val="131413"/>
          <w:sz w:val="20"/>
          <w:szCs w:val="20"/>
        </w:rPr>
        <w:t>The objective of the present work was to evaluate the toxic effects of cobalt chloride, a potent oxidative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RgmxcmAdvTT3713a231" w:hAnsi="RgmxcmAdvTT3713a231" w:cs="RgmxcmAdvTT3713a231"/>
          <w:color w:val="131413"/>
          <w:sz w:val="20"/>
          <w:szCs w:val="20"/>
        </w:rPr>
      </w:pPr>
      <w:proofErr w:type="gramStart"/>
      <w:r>
        <w:rPr>
          <w:rFonts w:ascii="RgmxcmAdvTT3713a231" w:hAnsi="RgmxcmAdvTT3713a231" w:cs="RgmxcmAdvTT3713a231"/>
          <w:color w:val="131413"/>
          <w:sz w:val="20"/>
          <w:szCs w:val="20"/>
        </w:rPr>
        <w:t>stress-inducing</w:t>
      </w:r>
      <w:proofErr w:type="gram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chemical, at 650 </w:t>
      </w:r>
      <w:proofErr w:type="spellStart"/>
      <w:r>
        <w:rPr>
          <w:rFonts w:ascii="RgmxcmAdvTT3713a231" w:hAnsi="RgmxcmAdvTT3713a231" w:cs="RgmxcmAdvTT3713a231"/>
          <w:color w:val="131413"/>
          <w:sz w:val="20"/>
          <w:szCs w:val="20"/>
        </w:rPr>
        <w:t>ppm</w:t>
      </w:r>
      <w:proofErr w:type="spell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in rats and the protective effect of quercetin and/or vitamin C against the cobalt chloride-induced toxicity. Thirty rats were randomly selected, and assigned to one of five groups: control, cobalt chloride, cobalt chloride + quercetin, cobalt chloride + vitamin C and cobalt chloride + quercetin + vitamin C. The exposure of rats to cobalt chloride led to a significant increase (</w:t>
      </w:r>
      <w:r>
        <w:rPr>
          <w:rFonts w:ascii="CdnkbvAdvTT50a2f13e.I" w:hAnsi="CdnkbvAdvTT50a2f13e.I" w:cs="CdnkbvAdvTT50a2f13e.I"/>
          <w:color w:val="131413"/>
          <w:sz w:val="20"/>
          <w:szCs w:val="20"/>
        </w:rPr>
        <w:t xml:space="preserve">p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&lt; 0.05) in </w:t>
      </w:r>
      <w:proofErr w:type="spellStart"/>
      <w:r>
        <w:rPr>
          <w:rFonts w:ascii="RgmxcmAdvTT3713a231" w:hAnsi="RgmxcmAdvTT3713a231" w:cs="RgmxcmAdvTT3713a231"/>
          <w:color w:val="131413"/>
          <w:sz w:val="20"/>
          <w:szCs w:val="20"/>
        </w:rPr>
        <w:t>malondialdehyde</w:t>
      </w:r>
      <w:proofErr w:type="spell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(MDA) and hydrogen peroxide (H</w:t>
      </w:r>
      <w:r>
        <w:rPr>
          <w:rFonts w:ascii="RgmxcmAdvTT3713a231" w:hAnsi="RgmxcmAdvTT3713a231" w:cs="RgmxcmAdvTT3713a231"/>
          <w:color w:val="131413"/>
          <w:sz w:val="13"/>
          <w:szCs w:val="13"/>
        </w:rPr>
        <w:t>2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O</w:t>
      </w:r>
      <w:r>
        <w:rPr>
          <w:rFonts w:ascii="RgmxcmAdvTT3713a231" w:hAnsi="RgmxcmAdvTT3713a231" w:cs="RgmxcmAdvTT3713a231"/>
          <w:color w:val="131413"/>
          <w:sz w:val="13"/>
          <w:szCs w:val="13"/>
        </w:rPr>
        <w:t>2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) generated, but decreased nitric oxide (NO) bioavailability. Also, significant (</w:t>
      </w:r>
      <w:r>
        <w:rPr>
          <w:rFonts w:ascii="CdnkbvAdvTT50a2f13e.I" w:hAnsi="CdnkbvAdvTT50a2f13e.I" w:cs="CdnkbvAdvTT50a2f13e.I"/>
          <w:color w:val="131413"/>
          <w:sz w:val="20"/>
          <w:szCs w:val="20"/>
        </w:rPr>
        <w:t xml:space="preserve">p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&lt; 0.05) reductions were observed in the activity of glutathione </w:t>
      </w:r>
      <w:proofErr w:type="spellStart"/>
      <w:r>
        <w:rPr>
          <w:rFonts w:ascii="RgmxcmAdvTT3713a231" w:hAnsi="RgmxcmAdvTT3713a231" w:cs="RgmxcmAdvTT3713a231"/>
          <w:color w:val="131413"/>
          <w:sz w:val="20"/>
          <w:szCs w:val="20"/>
        </w:rPr>
        <w:t>peroxidase</w:t>
      </w:r>
      <w:proofErr w:type="spell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(</w:t>
      </w:r>
      <w:proofErr w:type="spellStart"/>
      <w:r>
        <w:rPr>
          <w:rFonts w:ascii="RgmxcmAdvTT3713a231" w:hAnsi="RgmxcmAdvTT3713a231" w:cs="RgmxcmAdvTT3713a231"/>
          <w:color w:val="131413"/>
          <w:sz w:val="20"/>
          <w:szCs w:val="20"/>
        </w:rPr>
        <w:t>GPx</w:t>
      </w:r>
      <w:proofErr w:type="spellEnd"/>
      <w:r>
        <w:rPr>
          <w:rFonts w:ascii="RgmxcmAdvTT3713a231" w:hAnsi="RgmxcmAdvTT3713a231" w:cs="RgmxcmAdvTT3713a231"/>
          <w:color w:val="131413"/>
          <w:sz w:val="20"/>
          <w:szCs w:val="20"/>
        </w:rPr>
        <w:t>) and reduced glutathione (GSH) content in the cardiac and renal tissues. Treatment with quercetin and vitamin C reversed the effect of cobalt chloride on MDA, H</w:t>
      </w:r>
      <w:r>
        <w:rPr>
          <w:rFonts w:ascii="RgmxcmAdvTT3713a231" w:hAnsi="RgmxcmAdvTT3713a231" w:cs="RgmxcmAdvTT3713a231"/>
          <w:color w:val="131413"/>
          <w:sz w:val="13"/>
          <w:szCs w:val="13"/>
        </w:rPr>
        <w:t>2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O</w:t>
      </w:r>
      <w:r>
        <w:rPr>
          <w:rFonts w:ascii="RgmxcmAdvTT3713a231" w:hAnsi="RgmxcmAdvTT3713a231" w:cs="RgmxcmAdvTT3713a231"/>
          <w:color w:val="131413"/>
          <w:sz w:val="13"/>
          <w:szCs w:val="13"/>
        </w:rPr>
        <w:t xml:space="preserve">2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>and NO, more potently than with either of the two antioxidants, and increased the antioxidant defence system. Further, treatment of rats with quercetin and vitamin C in combination resulted in significant (</w:t>
      </w:r>
      <w:r>
        <w:rPr>
          <w:rFonts w:ascii="CdnkbvAdvTT50a2f13e.I" w:hAnsi="CdnkbvAdvTT50a2f13e.I" w:cs="CdnkbvAdvTT50a2f13e.I"/>
          <w:color w:val="131413"/>
          <w:sz w:val="20"/>
          <w:szCs w:val="20"/>
        </w:rPr>
        <w:t xml:space="preserve">p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&lt; 0.05) decreases in the systolic, diastolic, and mean arterial blood pressure of rats, relative to those exposed to cobalt chloride alone. </w:t>
      </w:r>
      <w:proofErr w:type="spellStart"/>
      <w:r>
        <w:rPr>
          <w:rFonts w:ascii="RgmxcmAdvTT3713a231" w:hAnsi="RgmxcmAdvTT3713a231" w:cs="RgmxcmAdvTT3713a231"/>
          <w:color w:val="131413"/>
          <w:sz w:val="20"/>
          <w:szCs w:val="20"/>
        </w:rPr>
        <w:t>Immunohistochemical</w:t>
      </w:r>
      <w:proofErr w:type="spell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studies revealed a greater expression of nuclear factor kappa beta (NF-</w:t>
      </w:r>
      <w:proofErr w:type="spellStart"/>
      <w:r>
        <w:rPr>
          <w:rFonts w:ascii="RgmxcmAdvTT3713a231" w:hAnsi="RgmxcmAdvTT3713a231" w:cs="RgmxcmAdvTT3713a231"/>
          <w:color w:val="131413"/>
          <w:sz w:val="20"/>
          <w:szCs w:val="20"/>
        </w:rPr>
        <w:t>kB</w:t>
      </w:r>
      <w:proofErr w:type="spellEnd"/>
      <w:r>
        <w:rPr>
          <w:rFonts w:ascii="RgmxcmAdvTT3713a231" w:hAnsi="RgmxcmAdvTT3713a231" w:cs="RgmxcmAdvTT3713a231"/>
          <w:color w:val="131413"/>
          <w:sz w:val="20"/>
          <w:szCs w:val="20"/>
        </w:rPr>
        <w:t>) in the cobalt chloride group compared with the control- and antioxidants-treated rats. The results of this study suggest a protective role for quercetin and vitamin C in the amelioration of the toxic mechanisms leading to cobalt chloride-induced hypertension and its associated cardiac and renal complications in rats.</w:t>
      </w: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RgmxcmAdvTT3713a231" w:hAnsi="RgmxcmAdvTT3713a231" w:cs="RgmxcmAdvTT3713a231"/>
          <w:color w:val="131413"/>
          <w:sz w:val="20"/>
          <w:szCs w:val="20"/>
        </w:rPr>
      </w:pPr>
    </w:p>
    <w:p w:rsidR="00C13A4A" w:rsidRDefault="00C13A4A" w:rsidP="00C13A4A">
      <w:pPr>
        <w:autoSpaceDE w:val="0"/>
        <w:autoSpaceDN w:val="0"/>
        <w:adjustRightInd w:val="0"/>
        <w:spacing w:after="0" w:line="240" w:lineRule="auto"/>
        <w:rPr>
          <w:rFonts w:ascii="RgmxcmAdvTT3713a231" w:hAnsi="RgmxcmAdvTT3713a231" w:cs="RgmxcmAdvTT3713a231"/>
          <w:color w:val="131413"/>
          <w:sz w:val="20"/>
          <w:szCs w:val="20"/>
        </w:rPr>
      </w:pPr>
      <w:r>
        <w:rPr>
          <w:rFonts w:ascii="LhgqbjAdvTTb8864ccf.B" w:hAnsi="LhgqbjAdvTTb8864ccf.B" w:cs="LhgqbjAdvTTb8864ccf.B"/>
          <w:color w:val="131413"/>
          <w:sz w:val="20"/>
          <w:szCs w:val="20"/>
        </w:rPr>
        <w:t xml:space="preserve">Keywords </w:t>
      </w:r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Cobalt </w:t>
      </w:r>
      <w:proofErr w:type="gramStart"/>
      <w:r>
        <w:rPr>
          <w:rFonts w:ascii="RgmxcmAdvTT3713a231" w:hAnsi="RgmxcmAdvTT3713a231" w:cs="RgmxcmAdvTT3713a231"/>
          <w:color w:val="131413"/>
          <w:sz w:val="20"/>
          <w:szCs w:val="20"/>
        </w:rPr>
        <w:t>chloride .</w:t>
      </w:r>
      <w:proofErr w:type="gram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</w:t>
      </w:r>
      <w:proofErr w:type="spellStart"/>
      <w:r>
        <w:rPr>
          <w:rFonts w:ascii="RgmxcmAdvTT3713a231" w:hAnsi="RgmxcmAdvTT3713a231" w:cs="RgmxcmAdvTT3713a231"/>
          <w:color w:val="131413"/>
          <w:sz w:val="20"/>
          <w:szCs w:val="20"/>
        </w:rPr>
        <w:t>Cardiorenal</w:t>
      </w:r>
      <w:proofErr w:type="spell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</w:t>
      </w:r>
      <w:proofErr w:type="gramStart"/>
      <w:r>
        <w:rPr>
          <w:rFonts w:ascii="RgmxcmAdvTT3713a231" w:hAnsi="RgmxcmAdvTT3713a231" w:cs="RgmxcmAdvTT3713a231"/>
          <w:color w:val="131413"/>
          <w:sz w:val="20"/>
          <w:szCs w:val="20"/>
        </w:rPr>
        <w:t>dysfunctions .</w:t>
      </w:r>
      <w:proofErr w:type="gramEnd"/>
    </w:p>
    <w:p w:rsidR="00C13A4A" w:rsidRDefault="00C13A4A" w:rsidP="00C13A4A">
      <w:pPr>
        <w:autoSpaceDE w:val="0"/>
        <w:autoSpaceDN w:val="0"/>
        <w:adjustRightInd w:val="0"/>
        <w:spacing w:after="0" w:line="240" w:lineRule="auto"/>
      </w:pPr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Oxidative </w:t>
      </w:r>
      <w:proofErr w:type="gramStart"/>
      <w:r>
        <w:rPr>
          <w:rFonts w:ascii="RgmxcmAdvTT3713a231" w:hAnsi="RgmxcmAdvTT3713a231" w:cs="RgmxcmAdvTT3713a231"/>
          <w:color w:val="131413"/>
          <w:sz w:val="20"/>
          <w:szCs w:val="20"/>
        </w:rPr>
        <w:t>stress .</w:t>
      </w:r>
      <w:proofErr w:type="gram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</w:t>
      </w:r>
      <w:proofErr w:type="gramStart"/>
      <w:r>
        <w:rPr>
          <w:rFonts w:ascii="RgmxcmAdvTT3713a231" w:hAnsi="RgmxcmAdvTT3713a231" w:cs="RgmxcmAdvTT3713a231"/>
          <w:color w:val="131413"/>
          <w:sz w:val="20"/>
          <w:szCs w:val="20"/>
        </w:rPr>
        <w:t>Hypertension .</w:t>
      </w:r>
      <w:proofErr w:type="gramEnd"/>
      <w:r>
        <w:rPr>
          <w:rFonts w:ascii="RgmxcmAdvTT3713a231" w:hAnsi="RgmxcmAdvTT3713a231" w:cs="RgmxcmAdvTT3713a231"/>
          <w:color w:val="131413"/>
          <w:sz w:val="20"/>
          <w:szCs w:val="20"/>
        </w:rPr>
        <w:t xml:space="preserve"> Nuclear factor kappa beta</w:t>
      </w:r>
    </w:p>
    <w:sectPr w:rsidR="00C13A4A" w:rsidSect="00405A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hgqbjAdvTTb8864ccf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svbkpAdvP000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gmxcm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dnkbvAdvTT50a2f13e.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C13A4A"/>
    <w:rsid w:val="00405A06"/>
    <w:rsid w:val="005E74E2"/>
    <w:rsid w:val="00736D10"/>
    <w:rsid w:val="00C13A4A"/>
    <w:rsid w:val="00E67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1804</Characters>
  <Application>Microsoft Office Word</Application>
  <DocSecurity>0</DocSecurity>
  <Lines>15</Lines>
  <Paragraphs>4</Paragraphs>
  <ScaleCrop>false</ScaleCrop>
  <Company>Hewlett-Packard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Tayo Ajibade</dc:creator>
  <cp:lastModifiedBy>Tayo Ajibade</cp:lastModifiedBy>
  <cp:revision>2</cp:revision>
  <dcterms:created xsi:type="dcterms:W3CDTF">2016-08-23T05:17:00Z</dcterms:created>
  <dcterms:modified xsi:type="dcterms:W3CDTF">2017-01-26T07:15:00Z</dcterms:modified>
</cp:coreProperties>
</file>