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spacing w:line="360" w:lineRule="auto"/>
        <w:jc w:val="center"/>
        <w:rPr>
          <w:rFonts w:ascii="Times New Roman" w:cs="Times New Roman" w:hAnsi="Times New Roman" w:eastAsia="Times New Roman"/>
          <w:b w:val="0"/>
          <w:bCs w:val="0"/>
          <w:sz w:val="20"/>
          <w:szCs w:val="20"/>
          <w:shd w:val="clear" w:color="auto" w:fill="ffffff"/>
        </w:rPr>
      </w:pPr>
      <w:r>
        <w:rPr>
          <w:rFonts w:ascii="Times New Roman" w:hAnsi="Times New Roman"/>
          <w:caps w:val="1"/>
          <w:sz w:val="20"/>
          <w:szCs w:val="20"/>
          <w:shd w:val="clear" w:color="auto" w:fill="ffffff"/>
          <w:rtl w:val="0"/>
          <w:lang w:val="en-US"/>
        </w:rPr>
        <w:t xml:space="preserve">A  </w:t>
      </w:r>
      <w:r>
        <w:rPr>
          <w:rFonts w:ascii="Times New Roman" w:hAnsi="Times New Roman"/>
          <w:sz w:val="20"/>
          <w:szCs w:val="20"/>
          <w:shd w:val="clear" w:color="auto" w:fill="ffffff"/>
          <w:rtl w:val="0"/>
          <w:lang w:val="en-US"/>
        </w:rPr>
        <w:t>randomized controlled trial to evaluate the peri</w:t>
      </w:r>
      <w:r>
        <w:rPr>
          <w:rFonts w:ascii="Times New Roman" w:hAnsi="Times New Roman"/>
          <w:caps w:val="1"/>
          <w:sz w:val="20"/>
          <w:szCs w:val="20"/>
          <w:shd w:val="clear" w:color="auto" w:fill="ffffff"/>
          <w:rtl w:val="0"/>
          <w:lang w:val="en-US"/>
        </w:rPr>
        <w:t xml:space="preserve"> - </w:t>
      </w:r>
      <w:r>
        <w:rPr>
          <w:rFonts w:ascii="Times New Roman" w:hAnsi="Times New Roman"/>
          <w:sz w:val="20"/>
          <w:szCs w:val="20"/>
          <w:shd w:val="clear" w:color="auto" w:fill="ffffff"/>
          <w:rtl w:val="0"/>
          <w:lang w:val="en-US"/>
        </w:rPr>
        <w:t>operative role of intra-operative  dexmedetomidine infusion in robotic assisted laparoscopic onco-surgeries.</w:t>
      </w:r>
    </w:p>
    <w:p>
      <w:pPr>
        <w:pStyle w:val="Body A"/>
        <w:spacing w:line="360" w:lineRule="auto"/>
        <w:rPr>
          <w:rFonts w:ascii="Times New Roman" w:cs="Times New Roman" w:hAnsi="Times New Roman" w:eastAsia="Times New Roman"/>
          <w:sz w:val="24"/>
          <w:szCs w:val="24"/>
          <w:shd w:val="clear" w:color="auto" w:fill="ffffff"/>
        </w:rPr>
      </w:pPr>
    </w:p>
    <w:p>
      <w:pPr>
        <w:pStyle w:val="Body A"/>
        <w:spacing w:line="360" w:lineRule="auto"/>
        <w:rPr>
          <w:rFonts w:ascii="Times New Roman" w:cs="Times New Roman" w:hAnsi="Times New Roman" w:eastAsia="Times New Roman"/>
          <w:i w:val="1"/>
          <w:iCs w:val="1"/>
          <w:sz w:val="20"/>
          <w:szCs w:val="20"/>
          <w:shd w:val="clear" w:color="auto" w:fill="ffffff"/>
        </w:rPr>
      </w:pPr>
      <w:r>
        <w:rPr>
          <w:rFonts w:ascii="Times New Roman" w:cs="Times New Roman" w:hAnsi="Times New Roman" w:eastAsia="Times New Roman"/>
          <w:sz w:val="24"/>
          <w:szCs w:val="24"/>
          <w:shd w:val="clear" w:color="auto" w:fill="ffffff"/>
          <w:rtl w:val="0"/>
        </w:rPr>
        <w:tab/>
        <w:tab/>
        <w:tab/>
        <w:tab/>
        <w:t xml:space="preserve">         </w:t>
      </w:r>
      <w:r>
        <w:rPr>
          <w:rFonts w:ascii="Times New Roman" w:hAnsi="Times New Roman"/>
          <w:i w:val="1"/>
          <w:iCs w:val="1"/>
          <w:sz w:val="20"/>
          <w:szCs w:val="20"/>
          <w:shd w:val="clear" w:color="auto" w:fill="ffffff"/>
          <w:rtl w:val="0"/>
          <w:lang w:val="en-US"/>
        </w:rPr>
        <w:t xml:space="preserve">Susan P,  Bakshi SG,  Bawalkar P  </w:t>
      </w:r>
    </w:p>
    <w:p>
      <w:pPr>
        <w:pStyle w:val="Body A"/>
        <w:spacing w:line="360" w:lineRule="auto"/>
        <w:rPr>
          <w:rFonts w:ascii="Times New Roman" w:cs="Times New Roman" w:hAnsi="Times New Roman" w:eastAsia="Times New Roman"/>
          <w:i w:val="1"/>
          <w:iCs w:val="1"/>
          <w:sz w:val="20"/>
          <w:szCs w:val="20"/>
          <w:shd w:val="clear" w:color="auto" w:fill="ffffff"/>
        </w:rPr>
      </w:pPr>
      <w:r>
        <w:rPr>
          <w:rFonts w:ascii="Times New Roman" w:cs="Times New Roman" w:hAnsi="Times New Roman" w:eastAsia="Times New Roman"/>
          <w:i w:val="1"/>
          <w:iCs w:val="1"/>
          <w:sz w:val="20"/>
          <w:szCs w:val="20"/>
          <w:shd w:val="clear" w:color="auto" w:fill="ffffff"/>
          <w:rtl w:val="0"/>
        </w:rPr>
        <w:tab/>
        <w:tab/>
        <w:tab/>
        <w:tab/>
        <w:t xml:space="preserve">      Tata Memorial Hospital, Mumbai, India</w:t>
      </w:r>
    </w:p>
    <w:p>
      <w:pPr>
        <w:pStyle w:val="Body A"/>
        <w:spacing w:line="360" w:lineRule="auto"/>
        <w:rPr>
          <w:rFonts w:ascii="Times New Roman" w:cs="Times New Roman" w:hAnsi="Times New Roman" w:eastAsia="Times New Roman"/>
          <w:i w:val="1"/>
          <w:iCs w:val="1"/>
          <w:sz w:val="24"/>
          <w:szCs w:val="24"/>
          <w:shd w:val="clear" w:color="auto" w:fill="ffffff"/>
        </w:rPr>
      </w:pPr>
    </w:p>
    <w:p>
      <w:pPr>
        <w:pStyle w:val="Body A"/>
        <w:spacing w:line="360" w:lineRule="auto"/>
        <w:rPr>
          <w:rFonts w:ascii="Times New Roman" w:cs="Times New Roman" w:hAnsi="Times New Roman" w:eastAsia="Times New Roman"/>
          <w:b w:val="1"/>
          <w:bCs w:val="1"/>
          <w:i w:val="1"/>
          <w:iCs w:val="1"/>
          <w:sz w:val="20"/>
          <w:szCs w:val="20"/>
          <w:shd w:val="clear" w:color="auto" w:fill="ffffff"/>
        </w:rPr>
      </w:pPr>
      <w:r>
        <w:rPr>
          <w:rFonts w:ascii="Times New Roman" w:hAnsi="Times New Roman"/>
          <w:b w:val="1"/>
          <w:bCs w:val="1"/>
          <w:i w:val="1"/>
          <w:iCs w:val="1"/>
          <w:sz w:val="20"/>
          <w:szCs w:val="20"/>
          <w:shd w:val="clear" w:color="auto" w:fill="ffffff"/>
          <w:rtl w:val="0"/>
          <w:lang w:val="en-US"/>
        </w:rPr>
        <w:t>Abstract</w:t>
      </w:r>
    </w:p>
    <w:p>
      <w:pPr>
        <w:pStyle w:val="Default"/>
        <w:bidi w:val="0"/>
        <w:ind w:left="0" w:right="0" w:firstLine="0"/>
        <w:jc w:val="both"/>
        <w:rPr>
          <w:rFonts w:ascii="Times New Roman" w:cs="Times New Roman" w:hAnsi="Times New Roman" w:eastAsia="Times New Roman"/>
          <w:b w:val="1"/>
          <w:bCs w:val="1"/>
          <w:u w:color="000000"/>
          <w:rtl w:val="0"/>
        </w:rPr>
      </w:pPr>
    </w:p>
    <w:p>
      <w:pPr>
        <w:pStyle w:val="Default"/>
        <w:tabs>
          <w:tab w:val="left" w:pos="1080"/>
          <w:tab w:val="left" w:pos="2160"/>
          <w:tab w:val="left" w:pos="3240"/>
          <w:tab w:val="left" w:pos="4320"/>
          <w:tab w:val="left" w:pos="5400"/>
          <w:tab w:val="left" w:pos="6480"/>
          <w:tab w:val="left" w:pos="7560"/>
          <w:tab w:val="left" w:pos="8640"/>
        </w:tabs>
        <w:bidi w:val="0"/>
        <w:ind w:left="0" w:right="0" w:firstLine="0"/>
        <w:jc w:val="both"/>
        <w:rPr>
          <w:rFonts w:ascii="Times New Roman" w:cs="Times New Roman" w:hAnsi="Times New Roman" w:eastAsia="Times New Roman"/>
          <w:sz w:val="18"/>
          <w:szCs w:val="18"/>
          <w:u w:color="000000"/>
          <w:rtl w:val="0"/>
          <w:lang w:val="en-US"/>
        </w:rPr>
      </w:pPr>
      <w:r>
        <w:rPr>
          <w:rFonts w:ascii="Times New Roman" w:hAnsi="Times New Roman"/>
          <w:sz w:val="18"/>
          <w:szCs w:val="18"/>
          <w:u w:color="000000"/>
          <w:rtl w:val="0"/>
          <w:lang w:val="en-US"/>
        </w:rPr>
        <w:t>Robotic and minimal invasive surgeries have revolutionised surgical outcomes. These pose challenges</w:t>
      </w:r>
      <w:r>
        <w:rPr>
          <w:rFonts w:ascii="Times New Roman" w:hAnsi="Times New Roman"/>
          <w:sz w:val="18"/>
          <w:szCs w:val="18"/>
          <w:u w:color="000000"/>
          <w:rtl w:val="0"/>
          <w:lang w:val="en-US"/>
        </w:rPr>
        <w:t xml:space="preserve"> in both</w:t>
      </w:r>
      <w:r>
        <w:rPr>
          <w:rFonts w:ascii="Times New Roman" w:hAnsi="Times New Roman"/>
          <w:sz w:val="18"/>
          <w:szCs w:val="18"/>
          <w:u w:color="000000"/>
          <w:rtl w:val="0"/>
          <w:lang w:val="en-US"/>
        </w:rPr>
        <w:t xml:space="preserve"> intra operative and post-operative management. Dexmedetomidine (dexmed), with distinct properties of sedation and analgesia has emerged as a promising drug. Our primary aim, in this double blinded study, was to evaluate reduction in intra operative opioid requirement by using intravenous infusion of dexmed and the time to first rescue analgesic postoperatively. Methods: </w:t>
      </w:r>
      <w:r>
        <w:rPr>
          <w:rFonts w:ascii="Times New Roman" w:hAnsi="Times New Roman"/>
          <w:sz w:val="18"/>
          <w:szCs w:val="18"/>
          <w:u w:color="000000"/>
          <w:rtl w:val="0"/>
          <w:lang w:val="en-US"/>
        </w:rPr>
        <w:t xml:space="preserve">After necessary approvals and informed consent from subjects </w:t>
      </w:r>
      <w:r>
        <w:rPr>
          <w:rFonts w:ascii="Times New Roman" w:hAnsi="Times New Roman"/>
          <w:sz w:val="18"/>
          <w:szCs w:val="18"/>
          <w:u w:color="000000"/>
          <w:rtl w:val="0"/>
          <w:lang w:val="en-US"/>
        </w:rPr>
        <w:t>46 patients were enrolled in the trial. As per computer generated randomisation chart patients were randomised into dexmed arm and placebo arm. Five minutes after insufflation, the study drug was started as a bolus of 1</w:t>
      </w:r>
      <w:r>
        <w:rPr>
          <w:rFonts w:ascii="Times New Roman" w:hAnsi="Times New Roman" w:hint="default"/>
          <w:sz w:val="18"/>
          <w:szCs w:val="18"/>
          <w:u w:color="000000"/>
          <w:rtl w:val="0"/>
        </w:rPr>
        <w:t>μ</w:t>
      </w:r>
      <w:r>
        <w:rPr>
          <w:rFonts w:ascii="Times New Roman" w:hAnsi="Times New Roman"/>
          <w:sz w:val="18"/>
          <w:szCs w:val="18"/>
          <w:u w:color="000000"/>
          <w:rtl w:val="0"/>
          <w:lang w:val="en-US"/>
        </w:rPr>
        <w:t xml:space="preserve">g/kg over 10 minutes followed by 0.2 </w:t>
      </w:r>
      <w:r>
        <w:rPr>
          <w:rFonts w:ascii="Times New Roman" w:hAnsi="Times New Roman" w:hint="default"/>
          <w:sz w:val="18"/>
          <w:szCs w:val="18"/>
          <w:u w:color="000000"/>
          <w:rtl w:val="0"/>
        </w:rPr>
        <w:t>μ</w:t>
      </w:r>
      <w:r>
        <w:rPr>
          <w:rFonts w:ascii="Times New Roman" w:hAnsi="Times New Roman"/>
          <w:sz w:val="18"/>
          <w:szCs w:val="18"/>
          <w:u w:color="000000"/>
          <w:rtl w:val="0"/>
          <w:lang w:val="en-US"/>
        </w:rPr>
        <w:t xml:space="preserve">g/kg/h maintenance till release of pneumoperitoneum while equivalent amount of saline was run in the control arm. Intra operatively drug titration was permitted in response to hemodynamic changes. When unresponsive, fentanyl boluses and minimum alveolar concentration (MAC) titration were allowed. Results: General demographics were comparable. The mean intra operative fentanyl requirement was significantly lower in the dexmed group 192.6 </w:t>
      </w:r>
      <w:r>
        <w:rPr>
          <w:rFonts w:ascii="Times New Roman" w:hAnsi="Times New Roman" w:hint="default"/>
          <w:sz w:val="18"/>
          <w:szCs w:val="18"/>
          <w:u w:color="000000"/>
          <w:rtl w:val="0"/>
        </w:rPr>
        <w:t>μ</w:t>
      </w:r>
      <w:r>
        <w:rPr>
          <w:rFonts w:ascii="Times New Roman" w:hAnsi="Times New Roman"/>
          <w:sz w:val="18"/>
          <w:szCs w:val="18"/>
          <w:u w:color="000000"/>
          <w:rtl w:val="0"/>
        </w:rPr>
        <w:t xml:space="preserve">g </w:t>
      </w:r>
      <w:r>
        <w:rPr>
          <w:rFonts w:ascii="Times New Roman" w:hAnsi="Times New Roman"/>
          <w:sz w:val="18"/>
          <w:szCs w:val="18"/>
          <w:u w:val="single" w:color="000000"/>
          <w:rtl w:val="0"/>
        </w:rPr>
        <w:t>+</w:t>
      </w:r>
      <w:r>
        <w:rPr>
          <w:rFonts w:ascii="Times New Roman" w:hAnsi="Times New Roman"/>
          <w:sz w:val="18"/>
          <w:szCs w:val="18"/>
          <w:u w:color="000000"/>
          <w:rtl w:val="0"/>
          <w:lang w:val="en-US"/>
        </w:rPr>
        <w:t xml:space="preserve">66.39 versus in saline group 260.7 </w:t>
      </w:r>
      <w:r>
        <w:rPr>
          <w:rFonts w:ascii="Times New Roman" w:hAnsi="Times New Roman" w:hint="default"/>
          <w:sz w:val="18"/>
          <w:szCs w:val="18"/>
          <w:u w:color="000000"/>
          <w:rtl w:val="0"/>
        </w:rPr>
        <w:t>μ</w:t>
      </w:r>
      <w:r>
        <w:rPr>
          <w:rFonts w:ascii="Times New Roman" w:hAnsi="Times New Roman"/>
          <w:sz w:val="18"/>
          <w:szCs w:val="18"/>
          <w:u w:color="000000"/>
          <w:rtl w:val="0"/>
        </w:rPr>
        <w:t xml:space="preserve">g </w:t>
      </w:r>
      <w:r>
        <w:rPr>
          <w:rFonts w:ascii="Times New Roman" w:hAnsi="Times New Roman"/>
          <w:sz w:val="18"/>
          <w:szCs w:val="18"/>
          <w:u w:val="single" w:color="000000"/>
          <w:rtl w:val="0"/>
        </w:rPr>
        <w:t>+</w:t>
      </w:r>
      <w:r>
        <w:rPr>
          <w:rFonts w:ascii="Times New Roman" w:hAnsi="Times New Roman"/>
          <w:sz w:val="18"/>
          <w:szCs w:val="18"/>
          <w:u w:color="000000"/>
          <w:rtl w:val="0"/>
        </w:rPr>
        <w:t>88.57 (p 0.013).</w:t>
      </w:r>
      <w:r>
        <w:rPr>
          <w:rFonts w:ascii="Times New Roman" w:hAnsi="Times New Roman"/>
          <w:sz w:val="18"/>
          <w:szCs w:val="18"/>
          <w:u w:color="000000"/>
          <w:rtl w:val="0"/>
          <w:lang w:val="en-US"/>
        </w:rPr>
        <w:t xml:space="preserve"> Lower MAC of inhalational agent was recorded in the dexmed group at 30 minutes (p 0.02), 1 hour (p 0.017) and 2 hours (p 0.028). Intra operative episodes of hypotension and bradycardia were similar in both groups. There was no discontinuation of study drug due to hypotension or bradycardia. Also, time to eye opening, first analgesic request, Ramsay sedation scores, 24 hours post-operative pain scores and side effects profile were comparable. Discussion: Dexmed has been shown to have significant analgesic and anaesthetic sparing effects in literature. In order to avoid hemodynamic fluctuations, we selected a lower rate for maintenance infusion. While no analgesic benefit was seen with the dosage used, significant results have been shown in laparoscopic surgeries with higher rates which needs to be studied in robotic surgeries. Thus the drug has a promising role in opioid sparing strategies and can be incorporated in suitable multi modal anaesthetic plan for perioperative care in robotic surgeries.</w:t>
      </w:r>
    </w:p>
    <w:p>
      <w:pPr>
        <w:pStyle w:val="Default"/>
        <w:tabs>
          <w:tab w:val="left" w:pos="1080"/>
          <w:tab w:val="left" w:pos="2160"/>
          <w:tab w:val="left" w:pos="3240"/>
          <w:tab w:val="left" w:pos="4320"/>
          <w:tab w:val="left" w:pos="5400"/>
          <w:tab w:val="left" w:pos="6480"/>
          <w:tab w:val="left" w:pos="7560"/>
          <w:tab w:val="left" w:pos="8640"/>
        </w:tabs>
        <w:bidi w:val="0"/>
        <w:ind w:left="0" w:right="0" w:firstLine="0"/>
        <w:jc w:val="both"/>
        <w:rPr>
          <w:u w:color="000000"/>
          <w:rtl w:val="0"/>
        </w:rPr>
      </w:pPr>
    </w:p>
    <w:p>
      <w:pPr>
        <w:pStyle w:val="Body B"/>
        <w:jc w:val="both"/>
        <w:rPr>
          <w:i w:val="1"/>
          <w:iCs w:val="1"/>
          <w:sz w:val="18"/>
          <w:szCs w:val="18"/>
        </w:rPr>
      </w:pPr>
      <w:r>
        <w:rPr>
          <w:b w:val="1"/>
          <w:bCs w:val="1"/>
          <w:i w:val="1"/>
          <w:iCs w:val="1"/>
          <w:sz w:val="20"/>
          <w:szCs w:val="20"/>
          <w:rtl w:val="0"/>
          <w:lang w:val="en-US"/>
        </w:rPr>
        <w:t>Keywords:</w:t>
      </w:r>
      <w:r>
        <w:rPr>
          <w:i w:val="1"/>
          <w:iCs w:val="1"/>
          <w:sz w:val="18"/>
          <w:szCs w:val="18"/>
          <w:rtl w:val="0"/>
          <w:lang w:val="en-US"/>
        </w:rPr>
        <w:t xml:space="preserve"> Dexmedetomidine, opioid sparing, pneumoperitoneum, robotic surgeries</w:t>
      </w:r>
    </w:p>
    <w:p>
      <w:pPr>
        <w:pStyle w:val="Body B"/>
        <w:jc w:val="both"/>
        <w:rPr>
          <w:i w:val="1"/>
          <w:iCs w:val="1"/>
          <w:sz w:val="18"/>
          <w:szCs w:val="18"/>
        </w:rPr>
      </w:pPr>
    </w:p>
    <w:p>
      <w:pPr>
        <w:pStyle w:val="Body B"/>
        <w:jc w:val="both"/>
        <w:rPr>
          <w:i w:val="1"/>
          <w:iCs w:val="1"/>
          <w:sz w:val="18"/>
          <w:szCs w:val="18"/>
        </w:rPr>
      </w:pPr>
      <w:r>
        <w:rPr>
          <w:i w:val="1"/>
          <w:iCs w:val="1"/>
          <w:sz w:val="18"/>
          <w:szCs w:val="18"/>
          <w:rtl w:val="0"/>
          <w:lang w:val="en-US"/>
        </w:rPr>
        <w:t xml:space="preserve">BIOGRAPHY: Dr Sumitra G Bakshi has done her MD in anaesthesia from Tata Memorial Hospital. She is currently Professor in the Department of Anaesthesia, Critical care and Pain in Tata Memorial Hospital, Mumbai. She is very passionate about perioperative pain management and is involved in multiple researches and teaching programmes in acute pain services. She has many publications in both national and international journals. </w:t>
      </w:r>
    </w:p>
    <w:p>
      <w:pPr>
        <w:pStyle w:val="Body B"/>
        <w:jc w:val="both"/>
        <w:rPr>
          <w:i w:val="1"/>
          <w:iCs w:val="1"/>
          <w:sz w:val="18"/>
          <w:szCs w:val="18"/>
        </w:rPr>
      </w:pP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sz w:val="16"/>
          <w:szCs w:val="16"/>
          <w:lang w:val="en-US"/>
        </w:rPr>
      </w:pPr>
      <w:r>
        <w:rPr>
          <w:b w:val="1"/>
          <w:bCs w:val="1"/>
          <w:sz w:val="16"/>
          <w:szCs w:val="16"/>
          <w:rtl w:val="0"/>
          <w:lang w:val="en-US"/>
        </w:rPr>
        <w:t xml:space="preserve">Presenting author details </w:t>
      </w:r>
      <w:r>
        <w:rPr>
          <w:rFonts w:ascii="Arial Unicode MS" w:cs="Arial Unicode MS" w:hAnsi="Arial Unicode MS" w:eastAsia="Arial Unicode MS"/>
          <w:b w:val="0"/>
          <w:bCs w:val="0"/>
          <w:i w:val="0"/>
          <w:iCs w:val="0"/>
          <w:sz w:val="16"/>
          <w:szCs w:val="16"/>
          <w:lang w:val="en-US"/>
        </w:rPr>
        <w:br w:type="textWrapping"/>
      </w:r>
      <w:r>
        <w:rPr>
          <w:sz w:val="16"/>
          <w:szCs w:val="16"/>
          <w:rtl w:val="0"/>
          <w:lang w:val="en-US"/>
        </w:rPr>
        <w:t>Full name:</w:t>
      </w:r>
      <w:r>
        <w:rPr>
          <w:sz w:val="16"/>
          <w:szCs w:val="16"/>
          <w:rtl w:val="0"/>
          <w:lang w:val="en-US"/>
        </w:rPr>
        <w:t xml:space="preserve"> Dr V Susan Paulin</w:t>
      </w:r>
      <w:r>
        <w:rPr>
          <w:sz w:val="16"/>
          <w:szCs w:val="16"/>
          <w:rtl w:val="0"/>
          <w:lang w:val="en-US"/>
        </w:rPr>
        <w:t xml:space="preserve"> </w:t>
      </w:r>
      <w:r>
        <w:rPr>
          <w:rFonts w:ascii="Arial Unicode MS" w:cs="Arial Unicode MS" w:hAnsi="Arial Unicode MS" w:eastAsia="Arial Unicode MS"/>
          <w:b w:val="0"/>
          <w:bCs w:val="0"/>
          <w:i w:val="0"/>
          <w:iCs w:val="0"/>
          <w:sz w:val="16"/>
          <w:szCs w:val="16"/>
          <w:lang w:val="en-US"/>
        </w:rPr>
        <w:br w:type="textWrapping"/>
      </w:r>
      <w:r>
        <w:rPr>
          <w:sz w:val="16"/>
          <w:szCs w:val="16"/>
          <w:rtl w:val="0"/>
          <w:lang w:val="en-US"/>
        </w:rPr>
        <w:t>Contact number:</w:t>
      </w:r>
      <w:r>
        <w:rPr>
          <w:sz w:val="16"/>
          <w:szCs w:val="16"/>
          <w:rtl w:val="0"/>
          <w:lang w:val="en-US"/>
        </w:rPr>
        <w:t xml:space="preserve"> 9994519890</w:t>
      </w: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Pr>
          <w:sz w:val="16"/>
          <w:szCs w:val="16"/>
          <w:rtl w:val="0"/>
          <w:lang w:val="en-US"/>
        </w:rPr>
        <w:t>Email: susanvercetti@gmail.com</w:t>
      </w:r>
      <w:r>
        <w:rPr>
          <w:rFonts w:ascii="Arial Unicode MS" w:cs="Arial Unicode MS" w:hAnsi="Arial Unicode MS" w:eastAsia="Arial Unicode MS"/>
          <w:b w:val="0"/>
          <w:bCs w:val="0"/>
          <w:i w:val="0"/>
          <w:iCs w:val="0"/>
          <w:sz w:val="16"/>
          <w:szCs w:val="16"/>
          <w:lang w:val="en-US"/>
        </w:rPr>
        <w:br w:type="textWrapping"/>
      </w:r>
      <w:r>
        <w:rPr>
          <w:sz w:val="16"/>
          <w:szCs w:val="16"/>
          <w:rtl w:val="0"/>
          <w:lang w:val="en-US"/>
        </w:rPr>
        <w:t>Category: Poster presentation</w:t>
      </w:r>
      <w:r>
        <w:rPr>
          <w:rFonts w:ascii="Arial Unicode MS" w:cs="Arial Unicode MS" w:hAnsi="Arial Unicode MS" w:eastAsia="Arial Unicode MS"/>
          <w:b w:val="0"/>
          <w:bCs w:val="0"/>
          <w:i w:val="0"/>
          <w:iCs w:val="0"/>
          <w:sz w:val="16"/>
          <w:szCs w:val="16"/>
          <w:lang w:val="en-US"/>
        </w:rPr>
        <w:br w:type="textWrapping"/>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Title">
    <w:name w:val="Title"/>
    <w:next w:val="Title"/>
    <w:pPr>
      <w:keepNext w:val="1"/>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1"/>
      <w:bCs w:val="1"/>
      <w:i w:val="0"/>
      <w:iCs w:val="0"/>
      <w:caps w:val="0"/>
      <w:smallCaps w:val="0"/>
      <w:strike w:val="0"/>
      <w:dstrike w:val="0"/>
      <w:outline w:val="0"/>
      <w:color w:val="000000"/>
      <w:spacing w:val="0"/>
      <w:kern w:val="0"/>
      <w:position w:val="0"/>
      <w:sz w:val="60"/>
      <w:szCs w:val="60"/>
      <w:u w:val="none" w:color="000000"/>
      <w:vertAlign w:val="baseline"/>
      <w:lang w:val="en-US"/>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