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jc w:val="left"/>
        <w:rPr>
          <w:rFonts w:ascii="Times New Roman" w:cs="Times New Roman" w:eastAsia="Times New Roman" w:hAnsi="Times New Roman"/>
          <w:b/>
          <w:sz w:val="24"/>
          <w:szCs w:val="24"/>
          <w:lang w:val="en-US"/>
        </w:rPr>
      </w:pPr>
    </w:p>
    <w:p>
      <w:pPr>
        <w:pStyle w:val="style0"/>
        <w:rPr>
          <w:b/>
          <w:sz w:val="24"/>
          <w:szCs w:val="24"/>
        </w:rPr>
      </w:pPr>
      <w:r>
        <w:rPr>
          <w:rFonts w:ascii="Times New Roman" w:cs="Times New Roman" w:eastAsia="Times New Roman" w:hAnsi="Times New Roman"/>
          <w:b/>
          <w:sz w:val="24"/>
          <w:szCs w:val="24"/>
          <w:lang w:val="en-US" w:eastAsia="en-IN"/>
        </w:rPr>
        <w:t xml:space="preserve">Title: </w:t>
      </w:r>
      <w:r>
        <w:rPr>
          <w:b/>
          <w:sz w:val="24"/>
          <w:szCs w:val="24"/>
        </w:rPr>
        <w:t>COMPARATIVE EVALUATION OF THE POSTOPERATIVE PHARYNGOLARYNGEAL COMPLICATIONS AND EASE OF INSERTION FOLLOWING LMA SUPREME INSERTION BY THREE DIFFERENT METHODS</w:t>
      </w:r>
    </w:p>
    <w:p>
      <w:pPr>
        <w:pStyle w:val="style0"/>
        <w:rPr>
          <w:rFonts w:ascii="Times New Roman" w:cs="Times New Roman" w:hAnsi="Times New Roman"/>
          <w:b/>
          <w:sz w:val="24"/>
          <w:szCs w:val="24"/>
          <w:u w:val="single"/>
        </w:rPr>
      </w:pPr>
      <w:r>
        <w:rPr>
          <w:rFonts w:ascii="Times New Roman" w:cs="Times New Roman" w:hAnsi="Times New Roman"/>
          <w:b/>
          <w:sz w:val="24"/>
          <w:szCs w:val="24"/>
          <w:u w:val="single"/>
        </w:rPr>
        <w:t xml:space="preserve">Summary </w:t>
      </w:r>
    </w:p>
    <w:p>
      <w:pPr>
        <w:pStyle w:val="style0"/>
        <w:spacing w:lineRule="auto" w:line="360"/>
        <w:rPr/>
      </w:pPr>
      <w:r>
        <w:rPr>
          <w:rStyle w:val="style4101"/>
          <w:rFonts w:ascii="Times New Roman" w:cs="Times New Roman" w:hAnsi="Times New Roman"/>
          <w:b/>
          <w:bCs/>
          <w:color w:val="333333"/>
        </w:rPr>
        <w:t>BACKGROUND </w:t>
      </w:r>
      <w:r>
        <w:rPr>
          <w:rStyle w:val="style4101"/>
          <w:rFonts w:ascii="Times New Roman" w:cs="Times New Roman" w:hAnsi="Times New Roman"/>
          <w:b/>
          <w:bCs/>
          <w:color w:val="333333"/>
        </w:rPr>
        <w:t xml:space="preserve">- </w:t>
      </w:r>
      <w:r>
        <w:rPr>
          <w:rFonts w:ascii="Times New Roman" w:cs="Times New Roman" w:hAnsi="Times New Roman"/>
        </w:rPr>
        <w:t>Postoperative pharyngolaryngeal complications</w:t>
      </w:r>
      <w:r>
        <w:rPr>
          <w:rFonts w:ascii="Times New Roman" w:cs="Times New Roman" w:hAnsi="Times New Roman"/>
        </w:rPr>
        <w:t xml:space="preserve"> and </w:t>
      </w:r>
      <w:r>
        <w:rPr>
          <w:rFonts w:ascii="Times New Roman" w:cs="Times New Roman" w:hAnsi="Times New Roman"/>
        </w:rPr>
        <w:t xml:space="preserve">difficulty in placement of </w:t>
      </w:r>
      <w:r>
        <w:rPr>
          <w:rFonts w:ascii="Times New Roman" w:cs="Times New Roman" w:hAnsi="Times New Roman"/>
        </w:rPr>
        <w:t xml:space="preserve">laryngeal mask airway (LMA) </w:t>
      </w:r>
      <w:r>
        <w:rPr>
          <w:rFonts w:ascii="Times New Roman" w:cs="Times New Roman" w:hAnsi="Times New Roman"/>
        </w:rPr>
        <w:t xml:space="preserve">are commonly reported following </w:t>
      </w:r>
      <w:r>
        <w:rPr>
          <w:rFonts w:ascii="Times New Roman" w:cs="Times New Roman" w:hAnsi="Times New Roman"/>
        </w:rPr>
        <w:t xml:space="preserve">LMA </w:t>
      </w:r>
      <w:r>
        <w:rPr>
          <w:rFonts w:ascii="Times New Roman" w:cs="Times New Roman" w:hAnsi="Times New Roman"/>
        </w:rPr>
        <w:t xml:space="preserve">insertion. After induction of anaesthesia, the airway structures </w:t>
      </w:r>
      <w:r>
        <w:rPr>
          <w:rFonts w:ascii="Times New Roman" w:cs="Times New Roman" w:hAnsi="Times New Roman"/>
        </w:rPr>
        <w:t xml:space="preserve">tend to </w:t>
      </w:r>
      <w:r>
        <w:rPr>
          <w:rFonts w:ascii="Times New Roman" w:cs="Times New Roman" w:hAnsi="Times New Roman"/>
        </w:rPr>
        <w:t>fall backwards under the influence of gravity, and this may contribute to ph</w:t>
      </w:r>
      <w:r>
        <w:rPr>
          <w:rFonts w:ascii="Times New Roman" w:cs="Times New Roman" w:hAnsi="Times New Roman"/>
        </w:rPr>
        <w:t>aryngolaryngeal complication</w:t>
      </w:r>
      <w:r>
        <w:t>.</w:t>
      </w:r>
    </w:p>
    <w:p>
      <w:pPr>
        <w:pStyle w:val="style0"/>
        <w:spacing w:lineRule="auto" w:line="360"/>
        <w:rPr>
          <w:rFonts w:ascii="Times New Roman" w:cs="Times New Roman" w:hAnsi="Times New Roman"/>
          <w:sz w:val="24"/>
          <w:szCs w:val="24"/>
        </w:rPr>
      </w:pPr>
      <w:r>
        <w:rPr>
          <w:rStyle w:val="style4101"/>
          <w:rFonts w:ascii="Times New Roman" w:cs="Times New Roman" w:hAnsi="Times New Roman"/>
          <w:b/>
          <w:bCs/>
          <w:color w:val="333333"/>
        </w:rPr>
        <w:t xml:space="preserve">OBJECTIVE- </w:t>
      </w:r>
      <w:r>
        <w:rPr>
          <w:rFonts w:ascii="Times New Roman" w:cs="Times New Roman" w:hAnsi="Times New Roman"/>
        </w:rPr>
        <w:t>To compare</w:t>
      </w:r>
      <w:r>
        <w:rPr>
          <w:rFonts w:ascii="Times New Roman" w:cs="Times New Roman" w:hAnsi="Times New Roman"/>
        </w:rPr>
        <w:t xml:space="preserve"> ease of insertion, </w:t>
      </w:r>
      <w:r>
        <w:rPr>
          <w:rFonts w:ascii="Times New Roman" w:cs="Times New Roman" w:hAnsi="Times New Roman"/>
        </w:rPr>
        <w:t xml:space="preserve"> pharyngo</w:t>
      </w:r>
      <w:r>
        <w:rPr>
          <w:rFonts w:ascii="Times New Roman" w:cs="Times New Roman" w:hAnsi="Times New Roman"/>
        </w:rPr>
        <w:t xml:space="preserve"> </w:t>
      </w:r>
      <w:r>
        <w:rPr>
          <w:rFonts w:ascii="Times New Roman" w:cs="Times New Roman" w:hAnsi="Times New Roman"/>
        </w:rPr>
        <w:t>laryngeal complications</w:t>
      </w:r>
      <w:r>
        <w:rPr>
          <w:rFonts w:ascii="Times New Roman" w:cs="Times New Roman" w:hAnsi="Times New Roman"/>
        </w:rPr>
        <w:t xml:space="preserve"> and positioning of LMA</w:t>
      </w:r>
      <w:r>
        <w:rPr>
          <w:rFonts w:ascii="Times New Roman" w:cs="Times New Roman" w:hAnsi="Times New Roman"/>
        </w:rPr>
        <w:t xml:space="preserve"> after </w:t>
      </w:r>
      <w:r>
        <w:rPr>
          <w:rFonts w:ascii="Times New Roman" w:cs="Times New Roman" w:hAnsi="Times New Roman"/>
        </w:rPr>
        <w:t>LMA supreme inserted with deflated cuff, pre inflated cuff and pre inflated cuff with external laryngeal lift</w:t>
      </w:r>
      <w:r>
        <w:rPr>
          <w:rFonts w:ascii="Times New Roman" w:cs="Times New Roman" w:hAnsi="Times New Roman"/>
          <w:sz w:val="24"/>
          <w:szCs w:val="24"/>
        </w:rPr>
        <w:t>.</w:t>
      </w:r>
    </w:p>
    <w:p>
      <w:pPr>
        <w:pStyle w:val="style0"/>
        <w:spacing w:lineRule="auto" w:line="360"/>
        <w:jc w:val="both"/>
        <w:rPr>
          <w:rFonts w:ascii="Times New Roman" w:cs="Times New Roman" w:hAnsi="Times New Roman"/>
        </w:rPr>
      </w:pPr>
      <w:r>
        <w:rPr>
          <w:rStyle w:val="style4101"/>
          <w:rFonts w:ascii="Times New Roman" w:cs="Times New Roman" w:hAnsi="Times New Roman"/>
          <w:b/>
          <w:bCs/>
          <w:color w:val="333333"/>
        </w:rPr>
        <w:t>METHODS</w:t>
      </w:r>
      <w:r>
        <w:rPr>
          <w:rStyle w:val="style4101"/>
          <w:rFonts w:ascii="Times New Roman" w:cs="Times New Roman" w:hAnsi="Times New Roman"/>
          <w:b/>
          <w:bCs/>
          <w:color w:val="333333"/>
        </w:rPr>
        <w:t> </w:t>
      </w:r>
      <w:r>
        <w:rPr>
          <w:rStyle w:val="style4101"/>
          <w:rFonts w:ascii="Times New Roman" w:cs="Times New Roman" w:hAnsi="Times New Roman"/>
          <w:b/>
          <w:bCs/>
          <w:color w:val="333333"/>
        </w:rPr>
        <w:t>-</w:t>
      </w:r>
      <w:r>
        <w:rPr>
          <w:rFonts w:ascii="Times New Roman" w:cs="Times New Roman" w:hAnsi="Times New Roman"/>
        </w:rPr>
        <w:t xml:space="preserve">This randomized controlled study was conducted on 90 ASA grade I and II patients of either sex aged 18 – 60 years with BMI≤30kg/m2 undergoing elective surgery under GA. </w:t>
      </w:r>
      <w:r>
        <w:rPr>
          <w:rFonts w:ascii="Times New Roman" w:cs="Times New Roman" w:hAnsi="Times New Roman"/>
        </w:rPr>
        <w:t>Patients were randomised into th</w:t>
      </w:r>
      <w:r>
        <w:rPr>
          <w:rFonts w:ascii="Times New Roman" w:cs="Times New Roman" w:hAnsi="Times New Roman"/>
        </w:rPr>
        <w:t>ree groups for SLMA placement: Group D, deflated cuff; Group I, pre-inflated cuff; Group EL</w:t>
      </w:r>
      <w:r>
        <w:rPr>
          <w:rFonts w:ascii="Times New Roman" w:cs="Times New Roman" w:hAnsi="Times New Roman"/>
        </w:rPr>
        <w:t>, pre-inflated cuff with external lift</w:t>
      </w:r>
      <w:r>
        <w:rPr>
          <w:rFonts w:ascii="Times New Roman" w:cs="Times New Roman" w:hAnsi="Times New Roman"/>
        </w:rPr>
        <w:t>ing of the larynx. Assessment of ease of insertion, positioning of LMA through fibreoptic view</w:t>
      </w:r>
      <w:r>
        <w:rPr>
          <w:rFonts w:ascii="Times New Roman" w:cs="Times New Roman" w:hAnsi="Times New Roman"/>
        </w:rPr>
        <w:t xml:space="preserve"> and </w:t>
      </w:r>
      <w:r>
        <w:rPr>
          <w:rFonts w:ascii="Times New Roman" w:cs="Times New Roman" w:hAnsi="Times New Roman"/>
        </w:rPr>
        <w:t xml:space="preserve"> pharyngolaryngeal complications </w:t>
      </w:r>
      <w:r>
        <w:rPr>
          <w:rFonts w:ascii="Times New Roman" w:cs="Times New Roman" w:hAnsi="Times New Roman"/>
        </w:rPr>
        <w:t>defined as a composite of one or more of sore throat, dysphoni</w:t>
      </w:r>
      <w:r>
        <w:rPr>
          <w:rFonts w:ascii="Times New Roman" w:cs="Times New Roman" w:hAnsi="Times New Roman"/>
        </w:rPr>
        <w:t>a or dysphagia</w:t>
      </w:r>
      <w:r>
        <w:rPr>
          <w:rFonts w:ascii="Times New Roman" w:cs="Times New Roman" w:hAnsi="Times New Roman"/>
        </w:rPr>
        <w:t xml:space="preserve"> </w:t>
      </w:r>
      <w:r>
        <w:rPr>
          <w:rFonts w:ascii="Times New Roman" w:cs="Times New Roman" w:hAnsi="Times New Roman"/>
        </w:rPr>
        <w:t>was made at the time of LMA removal and again at 1, 2 and 24 h.</w:t>
      </w:r>
    </w:p>
    <w:p>
      <w:pPr>
        <w:pStyle w:val="style0"/>
        <w:spacing w:lineRule="auto" w:line="360"/>
        <w:jc w:val="both"/>
        <w:rPr/>
      </w:pPr>
      <w:r>
        <w:rPr>
          <w:rStyle w:val="style4101"/>
          <w:rFonts w:ascii="Times New Roman" w:cs="Times New Roman" w:hAnsi="Times New Roman"/>
          <w:b/>
          <w:bCs/>
          <w:color w:val="333333"/>
        </w:rPr>
        <w:t>RESULTS </w:t>
      </w:r>
      <w:r>
        <w:rPr>
          <w:rFonts w:ascii="Times New Roman" w:cs="Times New Roman" w:hAnsi="Times New Roman"/>
          <w:lang w:eastAsia="en-IN"/>
        </w:rPr>
        <w:t>The mean time of successful insertion was less in pre-inflated technique and pre-inflated with external laryngeal lift technique. Better fibreoptic view of airway</w:t>
      </w:r>
      <w:r>
        <w:rPr>
          <w:rFonts w:ascii="Times New Roman" w:cs="Times New Roman" w:hAnsi="Times New Roman"/>
          <w:lang w:eastAsia="en-IN"/>
        </w:rPr>
        <w:t xml:space="preserve"> and blood tinging of SLMA on removal was less with pre inflated technique.</w:t>
      </w:r>
      <w:r>
        <w:rPr>
          <w:rFonts w:ascii="Times New Roman" w:cs="Times New Roman" w:hAnsi="Times New Roman"/>
          <w:lang w:eastAsia="en-IN"/>
        </w:rPr>
        <w:t xml:space="preserve"> </w:t>
      </w:r>
      <w:r>
        <w:rPr>
          <w:rFonts w:ascii="Times New Roman" w:cs="Times New Roman" w:hAnsi="Times New Roman"/>
          <w:lang w:eastAsia="en-IN"/>
        </w:rPr>
        <w:t>Pre inflated technique showed a l</w:t>
      </w:r>
      <w:r>
        <w:rPr>
          <w:rFonts w:ascii="Times New Roman" w:cs="Times New Roman" w:hAnsi="Times New Roman"/>
          <w:lang w:eastAsia="en-IN"/>
        </w:rPr>
        <w:t>ower incidence of sorethroat in first hour post surgery</w:t>
      </w:r>
      <w:r>
        <w:rPr>
          <w:rFonts w:ascii="Times New Roman" w:cs="Times New Roman" w:hAnsi="Times New Roman"/>
          <w:lang w:eastAsia="en-IN"/>
        </w:rPr>
        <w:t>, hoarseness of voice and dysphagia in 24 hours.</w:t>
      </w:r>
      <w:r>
        <w:rPr>
          <w:rFonts w:ascii="Times New Roman" w:cs="Times New Roman" w:hAnsi="Times New Roman"/>
          <w:lang w:eastAsia="en-IN"/>
        </w:rPr>
        <w:t xml:space="preserve"> One case of failure of insertion was present in both </w:t>
      </w:r>
      <w:r>
        <w:rPr>
          <w:rFonts w:ascii="Times New Roman" w:cs="Times New Roman" w:hAnsi="Times New Roman"/>
          <w:lang w:eastAsia="en-IN"/>
        </w:rPr>
        <w:t>deflated and pre inflated with external laryngeal lift technique</w:t>
      </w:r>
      <w:r>
        <w:rPr>
          <w:rFonts w:ascii="Times New Roman" w:cs="Times New Roman" w:hAnsi="Times New Roman"/>
          <w:lang w:eastAsia="en-IN"/>
        </w:rPr>
        <w:t>.</w:t>
      </w:r>
      <w:r>
        <w:rPr>
          <w:rFonts w:ascii="Times New Roman" w:cs="Times New Roman" w:hAnsi="Times New Roman"/>
          <w:lang w:eastAsia="en-IN"/>
        </w:rPr>
        <w:t xml:space="preserve"> At 24 hrs post surgery, sore throat incidence was significantly less with pre inflated with external laryngeal lift technique</w:t>
      </w:r>
      <w:r>
        <w:rPr>
          <w:rFonts w:ascii="Times New Roman" w:cs="Times New Roman" w:hAnsi="Times New Roman"/>
          <w:sz w:val="24"/>
          <w:szCs w:val="24"/>
          <w:lang w:eastAsia="en-IN"/>
        </w:rPr>
        <w:t>.</w:t>
      </w:r>
      <w:r>
        <w:rPr>
          <w:rFonts w:ascii="Times New Roman" w:cs="Times New Roman" w:hAnsi="Times New Roman"/>
          <w:sz w:val="24"/>
          <w:szCs w:val="24"/>
          <w:lang w:eastAsia="en-IN"/>
        </w:rPr>
        <w:t xml:space="preserve"> </w:t>
      </w:r>
    </w:p>
    <w:p>
      <w:pPr>
        <w:pStyle w:val="style157"/>
        <w:spacing w:lineRule="auto" w:line="360"/>
        <w:jc w:val="both"/>
        <w:rPr/>
      </w:pPr>
      <w:r>
        <w:rPr>
          <w:rStyle w:val="style4101"/>
          <w:b/>
          <w:bCs/>
          <w:color w:val="333333"/>
        </w:rPr>
        <w:t>CONCLUSION</w:t>
      </w:r>
      <w:r>
        <w:rPr>
          <w:rStyle w:val="style4101"/>
          <w:b/>
          <w:bCs/>
          <w:color w:val="333333"/>
        </w:rPr>
        <w:t>-</w:t>
      </w:r>
      <w:r>
        <w:rPr>
          <w:rStyle w:val="style4101"/>
          <w:b/>
          <w:bCs/>
          <w:color w:val="333333"/>
        </w:rPr>
        <w:t xml:space="preserve"> </w:t>
      </w:r>
      <w:r>
        <w:rPr>
          <w:sz w:val="22"/>
          <w:szCs w:val="22"/>
        </w:rPr>
        <w:t>Supreme LMA</w:t>
      </w:r>
      <w:r>
        <w:rPr>
          <w:sz w:val="22"/>
          <w:szCs w:val="22"/>
        </w:rPr>
        <w:t xml:space="preserve"> with pre inflated cuff technique was associated with lesser resistance on insertion, good fibreoptic airway view and lesser incidence</w:t>
      </w:r>
      <w:r>
        <w:rPr>
          <w:sz w:val="22"/>
          <w:szCs w:val="22"/>
        </w:rPr>
        <w:t xml:space="preserve"> of pharyngolaryngeal morbidity, suggesting that this method can be used for successful insertion and may also decrease trauma to the tissues of the upper airway during insertion.</w:t>
      </w:r>
    </w:p>
    <w:p>
      <w:pPr>
        <w:pStyle w:val="style0"/>
        <w:rPr>
          <w:rStyle w:val="style4101"/>
          <w:rFonts w:ascii="Times New Roman" w:cs="Times New Roman" w:hAnsi="Times New Roman"/>
          <w:b/>
          <w:bCs/>
          <w:color w:val="333333"/>
        </w:rPr>
      </w:pPr>
      <w:r>
        <w:rPr>
          <w:rStyle w:val="style4101"/>
          <w:rFonts w:ascii="Times New Roman" w:cs="Times New Roman" w:hAnsi="Times New Roman"/>
          <w:b/>
          <w:bCs/>
          <w:color w:val="333333"/>
        </w:rPr>
        <w:t> </w:t>
      </w:r>
    </w:p>
    <w:p>
      <w:pPr>
        <w:pStyle w:val="style0"/>
        <w:rPr>
          <w:rFonts w:ascii="Times New Roman" w:cs="Times New Roman" w:hAnsi="Times New Roman"/>
          <w:b/>
          <w:sz w:val="28"/>
          <w:szCs w:val="28"/>
          <w:u w:val="single"/>
        </w:rPr>
      </w:pPr>
      <w:r>
        <w:rPr>
          <w:rFonts w:ascii="Times New Roman" w:cs="Times New Roman" w:hAnsi="Times New Roman"/>
          <w:b/>
          <w:sz w:val="24"/>
          <w:szCs w:val="24"/>
          <w:u w:val="single"/>
        </w:rPr>
        <w:t xml:space="preserve"> </w:t>
      </w:r>
    </w:p>
    <w:p>
      <w:pPr>
        <w:pStyle w:val="style157"/>
        <w:spacing w:lineRule="auto" w:line="360"/>
        <w:jc w:val="both"/>
        <w:rPr/>
      </w:pPr>
      <w:r>
        <w:rPr>
          <w:b/>
          <w:lang w:val="en-US" w:eastAsia="en-IN"/>
        </w:rPr>
        <w:t xml:space="preserve">Introduction: </w:t>
      </w:r>
      <w:r>
        <w:t>The Laryngeal Mask Airway (LMA)  has been used routinely as an alternative to tracheal intubation during general anaesthesia or as a rescue device for difficult airways  and has been shown to provide a reliable airway with a lower incidence of airway complications compared with tracheal intubation.</w:t>
      </w:r>
      <w:r>
        <w:rPr>
          <w:vertAlign w:val="superscript"/>
        </w:rPr>
        <w:t>1,2</w:t>
      </w:r>
      <w:r>
        <w:t xml:space="preserve"> LMA Supreme(SLMA) is a single use second generation supraglottic airway device with  inflatable cuff,</w:t>
      </w:r>
      <w:r>
        <w:t xml:space="preserve"> oesophageal drain tube and pre</w:t>
      </w:r>
      <w:r>
        <w:t>formed curve which brings together features of LMA proseal , LMA fastrach and LMA unique . Insertion of the LMA against increased resistance from the collapsed soft tissues may be traumatic to airway structures</w:t>
      </w:r>
      <w:r>
        <w:t>.</w:t>
      </w:r>
      <w:r>
        <w:t xml:space="preserve"> The most common post operative pharyngolaryngeal complication is sore throat.</w:t>
      </w:r>
      <w:r>
        <w:rPr>
          <w:vertAlign w:val="superscript"/>
        </w:rPr>
        <w:t xml:space="preserve"> </w:t>
      </w:r>
      <w:r>
        <w:t xml:space="preserve">Other complications include </w:t>
      </w:r>
      <w:r>
        <w:t>hoarsen</w:t>
      </w:r>
      <w:r>
        <w:t>ess of voice</w:t>
      </w:r>
      <w:r>
        <w:t>,</w:t>
      </w:r>
      <w:r>
        <w:t xml:space="preserve"> dysphagia </w:t>
      </w:r>
      <w:r>
        <w:t>pharyngeal mucosal abrasions and</w:t>
      </w:r>
      <w:r>
        <w:t xml:space="preserve"> cranial nerve damage se</w:t>
      </w:r>
      <w:r>
        <w:t>condary to pressure neuropraxia.</w:t>
      </w:r>
      <w:r>
        <w:rPr>
          <w:vertAlign w:val="superscript"/>
        </w:rPr>
        <w:t>3,4</w:t>
      </w:r>
      <w:r>
        <w:t xml:space="preserve"> </w:t>
      </w:r>
    </w:p>
    <w:p>
      <w:pPr>
        <w:pStyle w:val="style0"/>
        <w:spacing w:lineRule="auto" w:line="480"/>
        <w:rPr>
          <w:rFonts w:ascii="Times New Roman" w:cs="Times New Roman" w:eastAsia="Times New Roman" w:hAnsi="Times New Roman"/>
          <w:b/>
          <w:sz w:val="24"/>
          <w:szCs w:val="24"/>
          <w:lang w:eastAsia="en-IN"/>
        </w:rPr>
      </w:pPr>
      <w:r>
        <w:rPr>
          <w:rFonts w:ascii="Times New Roman" w:cs="Times New Roman" w:eastAsia="Times New Roman" w:hAnsi="Times New Roman"/>
          <w:b/>
          <w:sz w:val="24"/>
          <w:szCs w:val="24"/>
          <w:lang w:eastAsia="en-IN"/>
        </w:rPr>
        <w:t>Aims and objectives :</w:t>
      </w:r>
    </w:p>
    <w:p>
      <w:pPr>
        <w:pStyle w:val="style157"/>
        <w:numPr>
          <w:ilvl w:val="0"/>
          <w:numId w:val="1"/>
        </w:numPr>
        <w:spacing w:lineRule="auto" w:line="360"/>
        <w:jc w:val="both"/>
        <w:rPr/>
      </w:pPr>
      <w:r>
        <w:t xml:space="preserve">To </w:t>
      </w:r>
      <w:r>
        <w:t>compare pharyngolaryngeal complications in t</w:t>
      </w:r>
      <w:r>
        <w:t xml:space="preserve">erms of sore throat, dysphagia, </w:t>
      </w:r>
      <w:r>
        <w:t>hoarseness of voice and trauma on insertion</w:t>
      </w:r>
      <w:r>
        <w:t xml:space="preserve"> of LMA Supreme</w:t>
      </w:r>
      <w:r>
        <w:t xml:space="preserve"> with</w:t>
      </w:r>
      <w:r>
        <w:t>:</w:t>
      </w:r>
    </w:p>
    <w:p>
      <w:pPr>
        <w:pStyle w:val="style157"/>
        <w:numPr>
          <w:ilvl w:val="1"/>
          <w:numId w:val="1"/>
        </w:numPr>
        <w:spacing w:lineRule="auto" w:line="360"/>
        <w:jc w:val="both"/>
        <w:rPr/>
      </w:pPr>
      <w:r>
        <w:t xml:space="preserve">Completely deflated cuff </w:t>
      </w:r>
    </w:p>
    <w:p>
      <w:pPr>
        <w:pStyle w:val="style157"/>
        <w:numPr>
          <w:ilvl w:val="1"/>
          <w:numId w:val="1"/>
        </w:numPr>
        <w:spacing w:lineRule="auto" w:line="360"/>
        <w:jc w:val="both"/>
        <w:rPr/>
      </w:pPr>
      <w:r>
        <w:t xml:space="preserve"> Pre inflated cuff </w:t>
      </w:r>
    </w:p>
    <w:p>
      <w:pPr>
        <w:pStyle w:val="style157"/>
        <w:numPr>
          <w:ilvl w:val="1"/>
          <w:numId w:val="1"/>
        </w:numPr>
        <w:spacing w:lineRule="auto" w:line="360"/>
        <w:jc w:val="both"/>
        <w:rPr/>
      </w:pPr>
      <w:r>
        <w:t xml:space="preserve"> Pre inflated cu</w:t>
      </w:r>
      <w:r>
        <w:t>ff with external laryngeal lift</w:t>
      </w:r>
      <w:r>
        <w:t>.</w:t>
      </w:r>
    </w:p>
    <w:p>
      <w:pPr>
        <w:pStyle w:val="style157"/>
        <w:numPr>
          <w:ilvl w:val="0"/>
          <w:numId w:val="1"/>
        </w:numPr>
        <w:spacing w:lineRule="auto" w:line="360"/>
        <w:jc w:val="both"/>
        <w:rPr/>
      </w:pPr>
      <w:r>
        <w:t>To evaluate and compare the ease of insertion and positioning of LMA supreme inserted following the above mentioned LMA supreme insertion methods</w:t>
      </w:r>
      <w:r>
        <w:t>.</w:t>
      </w:r>
    </w:p>
    <w:p>
      <w:pPr>
        <w:pStyle w:val="style157"/>
        <w:spacing w:lineRule="auto" w:line="360"/>
        <w:jc w:val="both"/>
        <w:rPr/>
      </w:pPr>
      <w:r>
        <w:rPr>
          <w:b/>
          <w:lang w:val="en-US" w:eastAsia="en-IN"/>
        </w:rPr>
        <w:t>Materials and Method :</w:t>
      </w:r>
      <w:r>
        <w:t xml:space="preserve"> </w:t>
      </w:r>
      <w:r>
        <w:t>Aft</w:t>
      </w:r>
      <w:r>
        <w:t>er obtaining the ethical cleara</w:t>
      </w:r>
      <w:r>
        <w:t>nce from the institutional ethics committee and the written informed consent from the patients, a randomized controlled study was conducted on 90 ASA grade I and II patients of either sex aged 18 – 60 years with BMI≤30kg/m2 under</w:t>
      </w:r>
      <w:r>
        <w:t>going elective surgery under GA.</w:t>
      </w:r>
    </w:p>
    <w:p>
      <w:pPr>
        <w:pStyle w:val="style0"/>
        <w:spacing w:lineRule="auto" w:line="480"/>
        <w:rPr>
          <w:rFonts w:ascii="Times New Roman" w:cs="Times New Roman" w:eastAsia="Times New Roman" w:hAnsi="Times New Roman"/>
          <w:b/>
          <w:sz w:val="24"/>
          <w:szCs w:val="24"/>
          <w:lang w:eastAsia="en-IN"/>
        </w:rPr>
      </w:pPr>
      <w:r>
        <w:rPr>
          <w:rFonts w:ascii="Times New Roman" w:cs="Times New Roman" w:eastAsia="Times New Roman" w:hAnsi="Times New Roman"/>
          <w:b/>
          <w:sz w:val="24"/>
          <w:szCs w:val="24"/>
          <w:lang w:eastAsia="en-IN"/>
        </w:rPr>
        <w:t>Exclusion criteria :</w:t>
      </w:r>
      <w:r>
        <w:rPr>
          <w:rFonts w:ascii="Times New Roman" w:cs="Times New Roman" w:eastAsia="Times New Roman" w:hAnsi="Times New Roman"/>
          <w:b/>
          <w:sz w:val="24"/>
          <w:szCs w:val="24"/>
          <w:lang w:eastAsia="en-IN"/>
        </w:rPr>
        <w:t xml:space="preserve"> </w:t>
      </w:r>
    </w:p>
    <w:p>
      <w:pPr>
        <w:pStyle w:val="style0"/>
        <w:widowControl w:val="false"/>
        <w:numPr>
          <w:ilvl w:val="0"/>
          <w:numId w:val="15"/>
        </w:numPr>
        <w:autoSpaceDE w:val="false"/>
        <w:autoSpaceDN w:val="false"/>
        <w:adjustRightInd w:val="false"/>
        <w:spacing w:after="0" w:lineRule="auto" w:line="360"/>
        <w:jc w:val="both"/>
        <w:rPr>
          <w:rFonts w:ascii="Times New Roman" w:cs="Times New Roman" w:hAnsi="Times New Roman"/>
          <w:sz w:val="24"/>
          <w:szCs w:val="24"/>
        </w:rPr>
      </w:pPr>
      <w:r>
        <w:rPr>
          <w:rFonts w:ascii="Times New Roman" w:cs="Times New Roman" w:hAnsi="Times New Roman"/>
          <w:sz w:val="24"/>
          <w:szCs w:val="24"/>
        </w:rPr>
        <w:t>Patients at increased risk of aspiration or GERD</w:t>
      </w:r>
    </w:p>
    <w:p>
      <w:pPr>
        <w:pStyle w:val="style0"/>
        <w:widowControl w:val="false"/>
        <w:numPr>
          <w:ilvl w:val="0"/>
          <w:numId w:val="15"/>
        </w:numPr>
        <w:autoSpaceDE w:val="false"/>
        <w:autoSpaceDN w:val="false"/>
        <w:adjustRightInd w:val="false"/>
        <w:spacing w:after="0" w:lineRule="auto" w:line="360"/>
        <w:jc w:val="both"/>
        <w:rPr>
          <w:rFonts w:ascii="Times New Roman" w:cs="Times New Roman" w:hAnsi="Times New Roman"/>
          <w:sz w:val="24"/>
          <w:szCs w:val="24"/>
        </w:rPr>
      </w:pPr>
      <w:r>
        <w:rPr>
          <w:rFonts w:ascii="Times New Roman" w:cs="Times New Roman" w:hAnsi="Times New Roman"/>
          <w:sz w:val="24"/>
          <w:szCs w:val="24"/>
        </w:rPr>
        <w:t>Preoperative</w:t>
      </w:r>
      <w:r>
        <w:rPr>
          <w:rFonts w:ascii="Times New Roman" w:cs="Times New Roman" w:hAnsi="Times New Roman"/>
          <w:sz w:val="24"/>
          <w:szCs w:val="24"/>
        </w:rPr>
        <w:t xml:space="preserve"> sore throat</w:t>
      </w:r>
      <w:r>
        <w:rPr>
          <w:rFonts w:ascii="Times New Roman" w:cs="Times New Roman" w:hAnsi="Times New Roman"/>
          <w:sz w:val="24"/>
          <w:szCs w:val="24"/>
        </w:rPr>
        <w:t>,</w:t>
      </w:r>
      <w:r>
        <w:rPr>
          <w:rFonts w:ascii="Times New Roman" w:cs="Times New Roman" w:hAnsi="Times New Roman"/>
          <w:sz w:val="24"/>
          <w:szCs w:val="24"/>
        </w:rPr>
        <w:t xml:space="preserve"> </w:t>
      </w:r>
      <w:r>
        <w:rPr>
          <w:rFonts w:ascii="Times New Roman" w:cs="Times New Roman" w:hAnsi="Times New Roman"/>
          <w:sz w:val="24"/>
          <w:szCs w:val="24"/>
        </w:rPr>
        <w:t>dysphagia or hoarseness of voice</w:t>
      </w:r>
    </w:p>
    <w:p>
      <w:pPr>
        <w:pStyle w:val="style0"/>
        <w:widowControl w:val="false"/>
        <w:numPr>
          <w:ilvl w:val="0"/>
          <w:numId w:val="15"/>
        </w:numPr>
        <w:autoSpaceDE w:val="false"/>
        <w:autoSpaceDN w:val="false"/>
        <w:adjustRightInd w:val="false"/>
        <w:spacing w:after="0" w:lineRule="auto" w:line="360"/>
        <w:jc w:val="both"/>
        <w:rPr>
          <w:rFonts w:ascii="Times New Roman" w:cs="Times New Roman" w:hAnsi="Times New Roman"/>
          <w:sz w:val="24"/>
          <w:szCs w:val="24"/>
        </w:rPr>
      </w:pPr>
      <w:r>
        <w:rPr>
          <w:rFonts w:ascii="Times New Roman" w:cs="Times New Roman" w:hAnsi="Times New Roman"/>
          <w:sz w:val="24"/>
          <w:szCs w:val="24"/>
        </w:rPr>
        <w:t>Patients undergoing oral or nasal surgery</w:t>
      </w:r>
    </w:p>
    <w:p>
      <w:pPr>
        <w:pStyle w:val="style0"/>
        <w:widowControl w:val="false"/>
        <w:numPr>
          <w:ilvl w:val="0"/>
          <w:numId w:val="15"/>
        </w:numPr>
        <w:autoSpaceDE w:val="false"/>
        <w:autoSpaceDN w:val="false"/>
        <w:adjustRightInd w:val="false"/>
        <w:spacing w:after="0" w:lineRule="auto" w:line="360"/>
        <w:jc w:val="both"/>
        <w:rPr>
          <w:rFonts w:ascii="Times New Roman" w:cs="Times New Roman" w:hAnsi="Times New Roman"/>
          <w:sz w:val="24"/>
          <w:szCs w:val="24"/>
        </w:rPr>
      </w:pPr>
      <w:r>
        <w:rPr>
          <w:rFonts w:ascii="Times New Roman" w:cs="Times New Roman" w:hAnsi="Times New Roman"/>
          <w:sz w:val="24"/>
          <w:szCs w:val="24"/>
        </w:rPr>
        <w:t xml:space="preserve">Pregnancy </w:t>
      </w:r>
    </w:p>
    <w:p>
      <w:pPr>
        <w:pStyle w:val="style157"/>
        <w:spacing w:lineRule="auto" w:line="360"/>
        <w:jc w:val="both"/>
        <w:rPr>
          <w:b/>
        </w:rPr>
      </w:pPr>
    </w:p>
    <w:p>
      <w:pPr>
        <w:pStyle w:val="style157"/>
        <w:spacing w:lineRule="auto" w:line="360"/>
        <w:jc w:val="both"/>
        <w:rPr>
          <w:b/>
        </w:rPr>
      </w:pPr>
    </w:p>
    <w:p>
      <w:pPr>
        <w:pStyle w:val="style157"/>
        <w:spacing w:lineRule="auto" w:line="360"/>
        <w:jc w:val="both"/>
        <w:rPr>
          <w:b/>
        </w:rPr>
      </w:pPr>
      <w:r>
        <w:rPr>
          <w:b/>
        </w:rPr>
        <w:t>Outcomes of the study:</w:t>
      </w:r>
    </w:p>
    <w:p>
      <w:pPr>
        <w:pStyle w:val="style157"/>
        <w:spacing w:lineRule="auto" w:line="360"/>
        <w:jc w:val="both"/>
        <w:rPr>
          <w:b/>
        </w:rPr>
      </w:pPr>
    </w:p>
    <w:p>
      <w:pPr>
        <w:pStyle w:val="style157"/>
        <w:numPr>
          <w:ilvl w:val="0"/>
          <w:numId w:val="16"/>
        </w:numPr>
        <w:spacing w:lineRule="auto" w:line="360"/>
        <w:jc w:val="both"/>
        <w:rPr/>
      </w:pPr>
      <w:r>
        <w:rPr>
          <w:b/>
        </w:rPr>
        <w:t>Primary Outcome:</w:t>
      </w:r>
      <w:r>
        <w:t xml:space="preserve"> </w:t>
      </w:r>
    </w:p>
    <w:p>
      <w:pPr>
        <w:pStyle w:val="style157"/>
        <w:numPr>
          <w:ilvl w:val="1"/>
          <w:numId w:val="16"/>
        </w:numPr>
        <w:spacing w:lineRule="auto" w:line="360"/>
        <w:jc w:val="both"/>
        <w:rPr/>
      </w:pPr>
      <w:r>
        <w:t xml:space="preserve">Incidence of any one of the four primary airway complications </w:t>
      </w:r>
      <w:r>
        <w:t>i.e.</w:t>
      </w:r>
      <w:r>
        <w:t xml:space="preserve"> sore throat, hoarseness of voice, dysphagia or blood on the LMA supreme at removal, </w:t>
      </w:r>
      <w:r>
        <w:t xml:space="preserve"> </w:t>
      </w:r>
      <w:r>
        <w:t>following insertion with completely deflated cuff, with pre inflated cuff and pre inflated cuff with external laryngeal lift.</w:t>
      </w:r>
    </w:p>
    <w:p>
      <w:pPr>
        <w:pStyle w:val="style157"/>
        <w:spacing w:lineRule="auto" w:line="360"/>
        <w:ind w:left="1440"/>
        <w:jc w:val="both"/>
        <w:rPr/>
      </w:pPr>
    </w:p>
    <w:p>
      <w:pPr>
        <w:pStyle w:val="style157"/>
        <w:numPr>
          <w:ilvl w:val="0"/>
          <w:numId w:val="16"/>
        </w:numPr>
        <w:spacing w:lineRule="auto" w:line="360"/>
        <w:jc w:val="both"/>
        <w:rPr>
          <w:b/>
        </w:rPr>
      </w:pPr>
      <w:r>
        <w:rPr>
          <w:b/>
        </w:rPr>
        <w:t>Secondary Outcome</w:t>
      </w:r>
    </w:p>
    <w:p>
      <w:pPr>
        <w:pStyle w:val="style157"/>
        <w:numPr>
          <w:ilvl w:val="1"/>
          <w:numId w:val="16"/>
        </w:numPr>
        <w:spacing w:lineRule="auto" w:line="360"/>
        <w:jc w:val="both"/>
        <w:rPr/>
      </w:pPr>
      <w:r>
        <w:t>The ease of insertion and positioning of SLMA following three different techniques of insertion.</w:t>
      </w:r>
    </w:p>
    <w:p>
      <w:pPr>
        <w:pStyle w:val="style0"/>
        <w:widowControl w:val="false"/>
        <w:autoSpaceDE w:val="false"/>
        <w:autoSpaceDN w:val="false"/>
        <w:adjustRightInd w:val="false"/>
        <w:spacing w:lineRule="auto" w:line="360"/>
        <w:jc w:val="both"/>
        <w:rPr>
          <w:rFonts w:ascii="Times New Roman" w:cs="Times New Roman" w:hAnsi="Times New Roman"/>
        </w:rPr>
      </w:pPr>
      <w:r>
        <w:rPr>
          <w:rFonts w:ascii="Times New Roman" w:cs="Times New Roman" w:hAnsi="Times New Roman"/>
          <w:b/>
        </w:rPr>
        <w:t>PREANAESTHETIC EVALUATION:</w:t>
      </w:r>
    </w:p>
    <w:p>
      <w:pPr>
        <w:pStyle w:val="style0"/>
        <w:widowControl w:val="false"/>
        <w:autoSpaceDE w:val="false"/>
        <w:autoSpaceDN w:val="false"/>
        <w:adjustRightInd w:val="false"/>
        <w:spacing w:lineRule="auto" w:line="360"/>
        <w:jc w:val="both"/>
        <w:rPr>
          <w:rFonts w:ascii="Times New Roman" w:cs="Times New Roman" w:hAnsi="Times New Roman"/>
        </w:rPr>
      </w:pPr>
      <w:r>
        <w:rPr>
          <w:rFonts w:ascii="Times New Roman" w:cs="Times New Roman" w:hAnsi="Times New Roman"/>
        </w:rPr>
        <w:t>Pre anaesthetic check-up (PAC) and investigation was done as per the age, surgical condition and associated disease of patients. A detailed airway evaluation was done.</w:t>
      </w:r>
    </w:p>
    <w:p>
      <w:pPr>
        <w:pStyle w:val="style157"/>
        <w:spacing w:lineRule="auto" w:line="360"/>
        <w:jc w:val="both"/>
        <w:rPr>
          <w:b/>
        </w:rPr>
      </w:pPr>
    </w:p>
    <w:p>
      <w:pPr>
        <w:pStyle w:val="style0"/>
        <w:spacing w:lineRule="auto" w:line="360"/>
        <w:jc w:val="both"/>
        <w:rPr>
          <w:rFonts w:ascii="Times New Roman" w:cs="Times New Roman" w:hAnsi="Times New Roman"/>
        </w:rPr>
      </w:pPr>
      <w:r>
        <w:rPr>
          <w:rFonts w:ascii="Times New Roman" w:cs="Times New Roman" w:hAnsi="Times New Roman"/>
          <w:b/>
        </w:rPr>
        <w:t>ALLOCATION OF GROUPS</w:t>
      </w:r>
      <w:r>
        <w:rPr>
          <w:rFonts w:ascii="Times New Roman" w:cs="Times New Roman" w:hAnsi="Times New Roman"/>
        </w:rPr>
        <w:t xml:space="preserve">- </w:t>
      </w:r>
    </w:p>
    <w:p>
      <w:pPr>
        <w:pStyle w:val="style157"/>
        <w:spacing w:lineRule="auto" w:line="360"/>
        <w:jc w:val="both"/>
        <w:rPr/>
      </w:pPr>
      <w:r>
        <w:t>The patients were randomly divided by computer generated random number into 3 groups comprising of  patients each. The study groups were</w:t>
      </w:r>
    </w:p>
    <w:p>
      <w:pPr>
        <w:pStyle w:val="style157"/>
        <w:numPr>
          <w:ilvl w:val="0"/>
          <w:numId w:val="28"/>
        </w:numPr>
        <w:spacing w:lineRule="auto" w:line="360"/>
        <w:jc w:val="both"/>
        <w:rPr>
          <w:b/>
        </w:rPr>
      </w:pPr>
      <w:r>
        <w:rPr>
          <w:b/>
        </w:rPr>
        <w:t xml:space="preserve">Group D -  </w:t>
      </w:r>
      <w:r>
        <w:t>Insertion using the standard LMA supreme deflated cuff</w:t>
      </w:r>
      <w:r>
        <w:t xml:space="preserve"> technique</w:t>
      </w:r>
    </w:p>
    <w:p>
      <w:pPr>
        <w:pStyle w:val="style157"/>
        <w:numPr>
          <w:ilvl w:val="0"/>
          <w:numId w:val="28"/>
        </w:numPr>
        <w:spacing w:lineRule="auto" w:line="360"/>
        <w:jc w:val="both"/>
        <w:rPr>
          <w:b/>
        </w:rPr>
      </w:pPr>
      <w:r>
        <w:rPr>
          <w:b/>
        </w:rPr>
        <w:t>Group I</w:t>
      </w:r>
      <w:r>
        <w:t xml:space="preserve">- </w:t>
      </w:r>
      <w:r>
        <w:t xml:space="preserve">Insertion of </w:t>
      </w:r>
      <w:r>
        <w:t xml:space="preserve">pre-inflated </w:t>
      </w:r>
      <w:r>
        <w:t>LMA supreme with</w:t>
      </w:r>
      <w:r>
        <w:t xml:space="preserve"> </w:t>
      </w:r>
      <w:r>
        <w:t xml:space="preserve">20ml air such that </w:t>
      </w:r>
      <w:r>
        <w:t>cuff pressure</w:t>
      </w:r>
      <w:r>
        <w:t xml:space="preserve"> remains zero.</w:t>
      </w:r>
    </w:p>
    <w:p>
      <w:pPr>
        <w:pStyle w:val="style157"/>
        <w:numPr>
          <w:ilvl w:val="0"/>
          <w:numId w:val="28"/>
        </w:numPr>
        <w:spacing w:lineRule="auto" w:line="360"/>
        <w:jc w:val="both"/>
        <w:rPr>
          <w:b/>
        </w:rPr>
      </w:pPr>
      <w:r>
        <w:rPr>
          <w:b/>
        </w:rPr>
        <w:t>Group EL</w:t>
      </w:r>
      <w:r>
        <w:t xml:space="preserve"> - As of Group 2 , but with external laryngeal lift.</w:t>
      </w:r>
    </w:p>
    <w:p>
      <w:pPr>
        <w:pStyle w:val="style0"/>
        <w:spacing w:lineRule="auto" w:line="360"/>
        <w:jc w:val="both"/>
        <w:rPr>
          <w:b/>
          <w:sz w:val="28"/>
          <w:szCs w:val="28"/>
        </w:rPr>
      </w:pPr>
    </w:p>
    <w:p>
      <w:pPr>
        <w:pStyle w:val="style0"/>
        <w:spacing w:lineRule="auto" w:line="360"/>
        <w:jc w:val="both"/>
        <w:rPr/>
      </w:pPr>
      <w:r>
        <w:rPr>
          <w:b/>
          <w:sz w:val="28"/>
          <w:szCs w:val="28"/>
        </w:rPr>
        <w:t>EVALUATING PARAMETERS</w:t>
      </w:r>
      <w:r>
        <w:t>:</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 xml:space="preserve">1. Post operative pharyngolaryngeal complications: </w:t>
      </w:r>
    </w:p>
    <w:p>
      <w:pPr>
        <w:pStyle w:val="style0"/>
        <w:numPr>
          <w:ilvl w:val="0"/>
          <w:numId w:val="27"/>
        </w:numPr>
        <w:autoSpaceDE w:val="false"/>
        <w:autoSpaceDN w:val="false"/>
        <w:adjustRightInd w:val="false"/>
        <w:spacing w:after="0" w:lineRule="auto" w:line="360"/>
        <w:rPr>
          <w:rFonts w:ascii="Times New Roman" w:cs="Times New Roman" w:eastAsia="Calibri" w:hAnsi="Times New Roman"/>
          <w:color w:val="000000"/>
          <w:sz w:val="24"/>
          <w:szCs w:val="24"/>
          <w:lang w:eastAsia="en-IN"/>
        </w:rPr>
      </w:pPr>
      <w:r>
        <w:rPr>
          <w:rFonts w:ascii="Times New Roman" w:cs="Times New Roman" w:eastAsia="Calibri" w:hAnsi="Times New Roman"/>
          <w:color w:val="000000"/>
          <w:sz w:val="24"/>
          <w:szCs w:val="24"/>
          <w:lang w:eastAsia="en-IN"/>
        </w:rPr>
        <w:t xml:space="preserve">Severity of Sore throat score at 1,2 and 24hrs </w:t>
      </w:r>
    </w:p>
    <w:p>
      <w:pPr>
        <w:pStyle w:val="style0"/>
        <w:numPr>
          <w:ilvl w:val="0"/>
          <w:numId w:val="27"/>
        </w:numPr>
        <w:autoSpaceDE w:val="false"/>
        <w:autoSpaceDN w:val="false"/>
        <w:adjustRightInd w:val="false"/>
        <w:spacing w:after="0" w:lineRule="auto" w:line="360"/>
        <w:rPr>
          <w:rFonts w:ascii="Times New Roman" w:cs="Times New Roman" w:eastAsia="Calibri" w:hAnsi="Times New Roman"/>
          <w:color w:val="000000"/>
          <w:sz w:val="24"/>
          <w:szCs w:val="24"/>
          <w:lang w:eastAsia="en-IN"/>
        </w:rPr>
      </w:pPr>
      <w:r>
        <w:rPr>
          <w:rFonts w:ascii="Times New Roman" w:cs="Times New Roman" w:eastAsia="Calibri" w:hAnsi="Times New Roman"/>
          <w:color w:val="000000"/>
          <w:sz w:val="24"/>
          <w:szCs w:val="24"/>
          <w:lang w:eastAsia="en-IN"/>
        </w:rPr>
        <w:t xml:space="preserve">Severity of hoarseness of voice score at 1,2 and 24hrs </w:t>
      </w:r>
    </w:p>
    <w:p>
      <w:pPr>
        <w:pStyle w:val="style0"/>
        <w:numPr>
          <w:ilvl w:val="0"/>
          <w:numId w:val="27"/>
        </w:numPr>
        <w:autoSpaceDE w:val="false"/>
        <w:autoSpaceDN w:val="false"/>
        <w:adjustRightInd w:val="false"/>
        <w:spacing w:after="0" w:lineRule="auto" w:line="360"/>
        <w:rPr>
          <w:rFonts w:ascii="Times New Roman" w:cs="Times New Roman" w:eastAsia="Calibri" w:hAnsi="Times New Roman"/>
          <w:color w:val="000000"/>
          <w:sz w:val="24"/>
          <w:szCs w:val="24"/>
          <w:lang w:eastAsia="en-IN"/>
        </w:rPr>
      </w:pPr>
      <w:r>
        <w:rPr>
          <w:rFonts w:ascii="Times New Roman" w:cs="Times New Roman" w:eastAsia="Calibri" w:hAnsi="Times New Roman"/>
          <w:color w:val="000000"/>
          <w:sz w:val="24"/>
          <w:szCs w:val="24"/>
          <w:lang w:eastAsia="en-IN"/>
        </w:rPr>
        <w:t>Severity of dysphagia score at 24hrs</w:t>
      </w:r>
    </w:p>
    <w:p>
      <w:pPr>
        <w:pStyle w:val="style0"/>
        <w:numPr>
          <w:ilvl w:val="0"/>
          <w:numId w:val="27"/>
        </w:numPr>
        <w:autoSpaceDE w:val="false"/>
        <w:autoSpaceDN w:val="false"/>
        <w:adjustRightInd w:val="false"/>
        <w:spacing w:after="0" w:lineRule="auto" w:line="360"/>
        <w:rPr>
          <w:rFonts w:ascii="Times New Roman" w:cs="Times New Roman" w:eastAsia="Calibri" w:hAnsi="Times New Roman"/>
          <w:color w:val="000000"/>
          <w:sz w:val="24"/>
          <w:szCs w:val="24"/>
          <w:lang w:eastAsia="en-IN"/>
        </w:rPr>
      </w:pPr>
      <w:r>
        <w:rPr>
          <w:rFonts w:ascii="Times New Roman" w:cs="Times New Roman" w:eastAsia="Calibri" w:hAnsi="Times New Roman"/>
          <w:color w:val="000000"/>
          <w:sz w:val="24"/>
          <w:szCs w:val="24"/>
          <w:lang w:eastAsia="en-IN"/>
        </w:rPr>
        <w:t xml:space="preserve">Blood on </w:t>
      </w:r>
      <w:r>
        <w:rPr>
          <w:rFonts w:ascii="Times New Roman" w:cs="Times New Roman" w:hAnsi="Times New Roman"/>
          <w:sz w:val="24"/>
          <w:szCs w:val="24"/>
        </w:rPr>
        <w:t>SLMA</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2.The ease of device insertion was recorded as</w:t>
      </w:r>
    </w:p>
    <w:p>
      <w:pPr>
        <w:pStyle w:val="style0"/>
        <w:numPr>
          <w:ilvl w:val="0"/>
          <w:numId w:val="19"/>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 xml:space="preserve">No or minimal resistance, </w:t>
      </w:r>
    </w:p>
    <w:p>
      <w:pPr>
        <w:pStyle w:val="style0"/>
        <w:numPr>
          <w:ilvl w:val="0"/>
          <w:numId w:val="19"/>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 xml:space="preserve">Moderate or significant resistance </w:t>
      </w:r>
    </w:p>
    <w:p>
      <w:pPr>
        <w:pStyle w:val="style0"/>
        <w:numPr>
          <w:ilvl w:val="0"/>
          <w:numId w:val="19"/>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 xml:space="preserve">Impossible to pass without excessive force. </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 xml:space="preserve"> 3. The number of attempts for SLMA insertion: An insertion attempt was recorded with each passage of the SLMA device into the mouth.</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 xml:space="preserve"> 4. Time until successful insertion. Insertion time was taken as the time from mouth entry to the appearance of an end tidal square wave CO2 trace on the capnograph. In the case of multiple insertion attempts, this time was cumulative.</w:t>
      </w:r>
    </w:p>
    <w:p>
      <w:pPr>
        <w:pStyle w:val="style0"/>
        <w:spacing w:lineRule="auto" w:line="360"/>
        <w:rPr>
          <w:rFonts w:ascii="Times New Roman" w:cs="Times New Roman" w:hAnsi="Times New Roman"/>
          <w:sz w:val="24"/>
          <w:szCs w:val="24"/>
        </w:rPr>
      </w:pPr>
      <w:r>
        <w:rPr>
          <w:rFonts w:ascii="Times New Roman" w:cs="Times New Roman" w:hAnsi="Times New Roman"/>
          <w:sz w:val="24"/>
          <w:szCs w:val="24"/>
        </w:rPr>
        <w:t xml:space="preserve"> 5.</w:t>
      </w:r>
      <w:r>
        <w:rPr>
          <w:rFonts w:ascii="Times New Roman" w:cs="Times New Roman" w:hAnsi="Times New Roman"/>
          <w:sz w:val="24"/>
          <w:szCs w:val="24"/>
        </w:rPr>
        <w:t xml:space="preserve"> </w:t>
      </w:r>
      <w:r>
        <w:rPr>
          <w:rFonts w:ascii="Times New Roman" w:cs="Times New Roman" w:hAnsi="Times New Roman"/>
          <w:sz w:val="24"/>
          <w:szCs w:val="24"/>
        </w:rPr>
        <w:t xml:space="preserve">The anatomical </w:t>
      </w:r>
      <w:r>
        <w:rPr>
          <w:rFonts w:ascii="Times New Roman" w:cs="Times New Roman" w:hAnsi="Times New Roman"/>
          <w:sz w:val="24"/>
          <w:szCs w:val="24"/>
        </w:rPr>
        <w:t>position of the SLMA was assessed by Fibreoptic examination via the airway channel . The view of airway was graded as follows :</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 xml:space="preserve">         Grade 1 : clear view of the vocal cord </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 xml:space="preserve">         Grade 2: view of the arytenoids only</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 xml:space="preserve">         Grade 3: view of the epiglottis only </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 xml:space="preserve">         Grade 4 : no laryngeal structures visible</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6.</w:t>
      </w:r>
      <w:r>
        <w:rPr>
          <w:rFonts w:ascii="Times New Roman" w:cs="Times New Roman" w:hAnsi="Times New Roman"/>
          <w:sz w:val="24"/>
          <w:szCs w:val="24"/>
        </w:rPr>
        <w:t xml:space="preserve"> </w:t>
      </w:r>
      <w:r>
        <w:rPr>
          <w:rFonts w:ascii="Times New Roman" w:cs="Times New Roman" w:hAnsi="Times New Roman"/>
          <w:sz w:val="24"/>
          <w:szCs w:val="24"/>
        </w:rPr>
        <w:t>The duration of surgery</w:t>
      </w:r>
    </w:p>
    <w:p>
      <w:pPr>
        <w:pStyle w:val="style157"/>
        <w:spacing w:lineRule="auto" w:line="360"/>
        <w:jc w:val="both"/>
        <w:rPr>
          <w:b/>
        </w:rPr>
      </w:pPr>
    </w:p>
    <w:p>
      <w:pPr>
        <w:pStyle w:val="style0"/>
        <w:widowControl w:val="false"/>
        <w:autoSpaceDE w:val="false"/>
        <w:autoSpaceDN w:val="false"/>
        <w:adjustRightInd w:val="false"/>
        <w:rPr>
          <w:rFonts w:ascii="Times New Roman" w:cs="Times New Roman" w:hAnsi="Times New Roman"/>
          <w:b/>
          <w:sz w:val="24"/>
          <w:szCs w:val="24"/>
        </w:rPr>
      </w:pPr>
      <w:r>
        <w:rPr>
          <w:rFonts w:ascii="Times New Roman" w:cs="Times New Roman" w:hAnsi="Times New Roman"/>
          <w:b/>
          <w:sz w:val="24"/>
          <w:szCs w:val="24"/>
        </w:rPr>
        <w:t xml:space="preserve">1. Grading of Post operative sorethroat </w:t>
      </w:r>
    </w:p>
    <w:p>
      <w:pPr>
        <w:pStyle w:val="style157"/>
        <w:numPr>
          <w:ilvl w:val="0"/>
          <w:numId w:val="30"/>
        </w:numPr>
        <w:spacing w:lineRule="auto" w:line="360"/>
        <w:jc w:val="both"/>
        <w:rPr/>
      </w:pPr>
      <w:r>
        <w:t>Grade 0- No sore throat any time after operation</w:t>
      </w:r>
    </w:p>
    <w:p>
      <w:pPr>
        <w:pStyle w:val="style157"/>
        <w:numPr>
          <w:ilvl w:val="0"/>
          <w:numId w:val="30"/>
        </w:numPr>
        <w:spacing w:lineRule="auto" w:line="360"/>
        <w:jc w:val="both"/>
        <w:rPr/>
      </w:pPr>
      <w:r>
        <w:t>Grade 1 - Minimal sorethroat (Complains of sore throat only on asking)</w:t>
      </w:r>
    </w:p>
    <w:p>
      <w:pPr>
        <w:pStyle w:val="style157"/>
        <w:numPr>
          <w:ilvl w:val="0"/>
          <w:numId w:val="30"/>
        </w:numPr>
        <w:spacing w:lineRule="auto" w:line="360"/>
        <w:jc w:val="both"/>
        <w:rPr/>
      </w:pPr>
      <w:r>
        <w:t>Grade 2- Moderate sorethroat  (Complains of sore throat on his/her own)</w:t>
      </w:r>
    </w:p>
    <w:p>
      <w:pPr>
        <w:pStyle w:val="style157"/>
        <w:numPr>
          <w:ilvl w:val="0"/>
          <w:numId w:val="30"/>
        </w:numPr>
        <w:spacing w:lineRule="auto" w:line="360"/>
        <w:jc w:val="both"/>
        <w:rPr/>
      </w:pPr>
      <w:r>
        <w:t>Grade 3- Severe sorethroat (Change of voice or  hoarseness of voice )</w:t>
      </w:r>
    </w:p>
    <w:p>
      <w:pPr>
        <w:pStyle w:val="style157"/>
        <w:spacing w:lineRule="auto" w:line="360"/>
        <w:jc w:val="both"/>
        <w:rPr>
          <w:b/>
          <w:sz w:val="28"/>
          <w:szCs w:val="28"/>
        </w:rPr>
      </w:pPr>
    </w:p>
    <w:p>
      <w:pPr>
        <w:pStyle w:val="style157"/>
        <w:spacing w:lineRule="auto" w:line="360"/>
        <w:jc w:val="both"/>
        <w:rPr>
          <w:b/>
        </w:rPr>
      </w:pPr>
      <w:r>
        <w:rPr>
          <w:b/>
        </w:rPr>
        <w:t>2. Grading of Post operative dysphagia</w:t>
      </w:r>
    </w:p>
    <w:p>
      <w:pPr>
        <w:pStyle w:val="style157"/>
        <w:numPr>
          <w:ilvl w:val="0"/>
          <w:numId w:val="31"/>
        </w:numPr>
        <w:spacing w:lineRule="auto" w:line="360"/>
        <w:jc w:val="both"/>
        <w:rPr/>
      </w:pPr>
      <w:r>
        <w:t>Grade 1 - Complains of dysphagia but still eating normally</w:t>
      </w:r>
    </w:p>
    <w:p>
      <w:pPr>
        <w:pStyle w:val="style157"/>
        <w:numPr>
          <w:ilvl w:val="0"/>
          <w:numId w:val="31"/>
        </w:numPr>
        <w:spacing w:lineRule="auto" w:line="360"/>
        <w:jc w:val="both"/>
        <w:rPr/>
      </w:pPr>
      <w:r>
        <w:t>Grade 2 - Requires liquid along with meals</w:t>
      </w:r>
    </w:p>
    <w:p>
      <w:pPr>
        <w:pStyle w:val="style157"/>
        <w:numPr>
          <w:ilvl w:val="0"/>
          <w:numId w:val="31"/>
        </w:numPr>
        <w:spacing w:lineRule="auto" w:line="360"/>
        <w:jc w:val="both"/>
        <w:rPr/>
      </w:pPr>
      <w:r>
        <w:t>Grade 3 - Able to take semi solids, but unable to take any solids</w:t>
      </w:r>
    </w:p>
    <w:p>
      <w:pPr>
        <w:pStyle w:val="style157"/>
        <w:numPr>
          <w:ilvl w:val="0"/>
          <w:numId w:val="31"/>
        </w:numPr>
        <w:spacing w:lineRule="auto" w:line="360"/>
        <w:jc w:val="both"/>
        <w:rPr/>
      </w:pPr>
      <w:r>
        <w:t>Grade 4- Able to swallow liquids only</w:t>
      </w:r>
    </w:p>
    <w:p>
      <w:pPr>
        <w:pStyle w:val="style157"/>
        <w:numPr>
          <w:ilvl w:val="0"/>
          <w:numId w:val="31"/>
        </w:numPr>
        <w:spacing w:lineRule="auto" w:line="360"/>
        <w:jc w:val="both"/>
        <w:rPr/>
      </w:pPr>
      <w:r>
        <w:t>Grade 5 - Unable to swallow liquid, but able to swallow saliva</w:t>
      </w:r>
    </w:p>
    <w:p>
      <w:pPr>
        <w:pStyle w:val="style157"/>
        <w:numPr>
          <w:ilvl w:val="0"/>
          <w:numId w:val="31"/>
        </w:numPr>
        <w:spacing w:lineRule="auto" w:line="360"/>
        <w:jc w:val="both"/>
        <w:rPr/>
      </w:pPr>
      <w:r>
        <w:t>Grade 6-  Unable to swallow saliva also</w:t>
      </w:r>
    </w:p>
    <w:p>
      <w:pPr>
        <w:pStyle w:val="style157"/>
        <w:spacing w:lineRule="auto" w:line="360"/>
        <w:jc w:val="both"/>
        <w:rPr/>
      </w:pPr>
    </w:p>
    <w:p>
      <w:pPr>
        <w:pStyle w:val="style157"/>
        <w:spacing w:lineRule="auto" w:line="360"/>
        <w:jc w:val="both"/>
        <w:rPr>
          <w:b/>
          <w:vertAlign w:val="superscript"/>
        </w:rPr>
      </w:pPr>
      <w:r>
        <w:rPr>
          <w:b/>
        </w:rPr>
        <w:t>3. Grading of Hoarseness</w:t>
      </w:r>
      <w:r>
        <w:rPr>
          <w:b/>
        </w:rPr>
        <w:t xml:space="preserve"> of voice</w:t>
      </w:r>
      <w:r>
        <w:rPr>
          <w:b/>
          <w:vertAlign w:val="superscript"/>
        </w:rPr>
        <w:t>5</w:t>
      </w:r>
    </w:p>
    <w:p>
      <w:pPr>
        <w:pStyle w:val="style157"/>
        <w:numPr>
          <w:ilvl w:val="0"/>
          <w:numId w:val="32"/>
        </w:numPr>
        <w:spacing w:lineRule="auto" w:line="360"/>
        <w:jc w:val="both"/>
        <w:rPr/>
      </w:pPr>
      <w:r>
        <w:t>Grade 0- No evidence of hoarseness at any point since the operation</w:t>
      </w:r>
    </w:p>
    <w:p>
      <w:pPr>
        <w:pStyle w:val="style157"/>
        <w:numPr>
          <w:ilvl w:val="0"/>
          <w:numId w:val="32"/>
        </w:numPr>
        <w:spacing w:lineRule="auto" w:line="360"/>
        <w:jc w:val="both"/>
        <w:rPr/>
      </w:pPr>
      <w:r>
        <w:t>Grade 1- No evidence of hoarseness at the time of interview</w:t>
      </w:r>
    </w:p>
    <w:p>
      <w:pPr>
        <w:pStyle w:val="style157"/>
        <w:numPr>
          <w:ilvl w:val="0"/>
          <w:numId w:val="32"/>
        </w:numPr>
        <w:spacing w:lineRule="auto" w:line="360"/>
        <w:jc w:val="both"/>
        <w:rPr/>
      </w:pPr>
      <w:r>
        <w:t>Grade 2- Hoarseness at the time of interview noted by patient only</w:t>
      </w:r>
    </w:p>
    <w:p>
      <w:pPr>
        <w:pStyle w:val="style157"/>
        <w:numPr>
          <w:ilvl w:val="0"/>
          <w:numId w:val="32"/>
        </w:numPr>
        <w:spacing w:lineRule="auto" w:line="360"/>
        <w:jc w:val="both"/>
        <w:rPr/>
      </w:pPr>
      <w:r>
        <w:t>Grade 3- Hoarseness that is easily noted at the time of interview</w:t>
      </w:r>
    </w:p>
    <w:p>
      <w:pPr>
        <w:pStyle w:val="style0"/>
        <w:spacing w:lineRule="auto" w:line="360"/>
        <w:jc w:val="both"/>
        <w:rPr/>
      </w:pPr>
    </w:p>
    <w:p>
      <w:pPr>
        <w:pStyle w:val="style0"/>
        <w:spacing w:lineRule="auto" w:line="360"/>
        <w:jc w:val="both"/>
        <w:rPr>
          <w:rFonts w:ascii="Times New Roman" w:cs="Times New Roman" w:eastAsia="Times New Roman" w:hAnsi="Times New Roman"/>
          <w:b/>
          <w:sz w:val="24"/>
          <w:szCs w:val="24"/>
          <w:lang w:eastAsia="en-IN"/>
        </w:rPr>
      </w:pPr>
      <w:r>
        <w:rPr>
          <w:rFonts w:ascii="Times New Roman" w:cs="Times New Roman" w:eastAsia="Times New Roman" w:hAnsi="Times New Roman"/>
          <w:b/>
          <w:sz w:val="24"/>
          <w:szCs w:val="24"/>
          <w:lang w:eastAsia="en-IN"/>
        </w:rPr>
        <w:t>Statistical Analysis: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 comparison of normally distributed continuous vari</w:t>
      </w:r>
      <w:r>
        <w:rPr>
          <w:rFonts w:ascii="Times New Roman" w:cs="Times New Roman" w:hAnsi="Times New Roman"/>
          <w:sz w:val="24"/>
          <w:szCs w:val="24"/>
        </w:rPr>
        <w:t>ables between the groups were</w:t>
      </w:r>
      <w:r>
        <w:rPr>
          <w:rFonts w:ascii="Times New Roman" w:cs="Times New Roman" w:hAnsi="Times New Roman"/>
          <w:sz w:val="24"/>
          <w:szCs w:val="24"/>
        </w:rPr>
        <w:t xml:space="preserve"> performed usi</w:t>
      </w:r>
      <w:r>
        <w:rPr>
          <w:rFonts w:ascii="Times New Roman" w:cs="Times New Roman" w:hAnsi="Times New Roman"/>
          <w:sz w:val="24"/>
          <w:szCs w:val="24"/>
        </w:rPr>
        <w:t>ng ANOVA. If the F value is</w:t>
      </w:r>
      <w:r>
        <w:rPr>
          <w:rFonts w:ascii="Times New Roman" w:cs="Times New Roman" w:hAnsi="Times New Roman"/>
          <w:sz w:val="24"/>
          <w:szCs w:val="24"/>
        </w:rPr>
        <w:t xml:space="preserve"> significant, Tukey or Tamhane’s T2 m</w:t>
      </w:r>
      <w:r>
        <w:rPr>
          <w:rFonts w:ascii="Times New Roman" w:cs="Times New Roman" w:hAnsi="Times New Roman"/>
          <w:sz w:val="24"/>
          <w:szCs w:val="24"/>
        </w:rPr>
        <w:t xml:space="preserve">ultiple comparison test was </w:t>
      </w:r>
      <w:r>
        <w:rPr>
          <w:rFonts w:ascii="Times New Roman" w:cs="Times New Roman" w:hAnsi="Times New Roman"/>
          <w:sz w:val="24"/>
          <w:szCs w:val="24"/>
        </w:rPr>
        <w:t>used to assess the differences between the individual groups.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Nominal categorical</w:t>
      </w:r>
      <w:r>
        <w:rPr>
          <w:rFonts w:ascii="Times New Roman" w:cs="Times New Roman" w:hAnsi="Times New Roman"/>
          <w:sz w:val="24"/>
          <w:szCs w:val="24"/>
        </w:rPr>
        <w:t xml:space="preserve"> data between the groups were</w:t>
      </w:r>
      <w:r>
        <w:rPr>
          <w:rFonts w:ascii="Times New Roman" w:cs="Times New Roman" w:hAnsi="Times New Roman"/>
          <w:sz w:val="24"/>
          <w:szCs w:val="24"/>
        </w:rPr>
        <w:t xml:space="preserve"> compared using Chi-squared test or Fisher’s exact test as appropriate. </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Non-normal distribut</w:t>
      </w:r>
      <w:r>
        <w:rPr>
          <w:rFonts w:ascii="Times New Roman" w:cs="Times New Roman" w:hAnsi="Times New Roman"/>
          <w:sz w:val="24"/>
          <w:szCs w:val="24"/>
        </w:rPr>
        <w:t>ion continuous variables were</w:t>
      </w:r>
      <w:r>
        <w:rPr>
          <w:rFonts w:ascii="Times New Roman" w:cs="Times New Roman" w:hAnsi="Times New Roman"/>
          <w:sz w:val="24"/>
          <w:szCs w:val="24"/>
        </w:rPr>
        <w:t xml:space="preserve"> compared using Kruskal Wallis test and fu</w:t>
      </w:r>
      <w:r>
        <w:rPr>
          <w:rFonts w:ascii="Times New Roman" w:cs="Times New Roman" w:hAnsi="Times New Roman"/>
          <w:sz w:val="24"/>
          <w:szCs w:val="24"/>
        </w:rPr>
        <w:t>rther paired comparisons were</w:t>
      </w:r>
      <w:r>
        <w:rPr>
          <w:rFonts w:ascii="Times New Roman" w:cs="Times New Roman" w:hAnsi="Times New Roman"/>
          <w:sz w:val="24"/>
          <w:szCs w:val="24"/>
        </w:rPr>
        <w:t xml:space="preserve"> done using Mann Whitney U test.</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For all statistical tests</w:t>
      </w:r>
      <w:r>
        <w:rPr>
          <w:rFonts w:ascii="Times New Roman" w:cs="Times New Roman" w:hAnsi="Times New Roman"/>
          <w:sz w:val="24"/>
          <w:szCs w:val="24"/>
        </w:rPr>
        <w:t>, p value less than 0.05 was</w:t>
      </w:r>
      <w:r>
        <w:rPr>
          <w:rFonts w:ascii="Times New Roman" w:cs="Times New Roman" w:hAnsi="Times New Roman"/>
          <w:sz w:val="24"/>
          <w:szCs w:val="24"/>
        </w:rPr>
        <w:t xml:space="preserve"> taken to indicate a significant difference</w:t>
      </w:r>
    </w:p>
    <w:p>
      <w:pPr>
        <w:pStyle w:val="style0"/>
        <w:spacing w:lineRule="auto" w:line="360"/>
        <w:jc w:val="both"/>
        <w:rPr>
          <w:rFonts w:ascii="Times New Roman" w:cs="Times New Roman" w:eastAsia="Times New Roman" w:hAnsi="Times New Roman"/>
          <w:sz w:val="24"/>
          <w:szCs w:val="24"/>
          <w:lang w:eastAsia="en-IN"/>
        </w:rPr>
      </w:pPr>
      <w:r>
        <w:rPr>
          <w:rFonts w:ascii="Times New Roman" w:cs="Times New Roman" w:eastAsia="Times New Roman" w:hAnsi="Times New Roman"/>
          <w:b/>
          <w:sz w:val="24"/>
          <w:szCs w:val="24"/>
          <w:lang w:val="en-US" w:eastAsia="en-IN"/>
        </w:rPr>
        <w:t xml:space="preserve">Results: </w:t>
      </w:r>
      <w:r>
        <w:rPr>
          <w:rFonts w:ascii="Times New Roman" w:cs="Times New Roman" w:eastAsia="Times New Roman" w:hAnsi="Times New Roman"/>
          <w:sz w:val="24"/>
          <w:szCs w:val="24"/>
          <w:lang w:eastAsia="en-IN"/>
        </w:rPr>
        <w:t>The demographic characteristics</w:t>
      </w:r>
      <w:r>
        <w:rPr>
          <w:rFonts w:ascii="Times New Roman" w:cs="Times New Roman" w:eastAsia="Times New Roman" w:hAnsi="Times New Roman"/>
          <w:sz w:val="24"/>
          <w:szCs w:val="24"/>
          <w:lang w:eastAsia="en-IN"/>
        </w:rPr>
        <w:t xml:space="preserve"> and airway parameters were</w:t>
      </w:r>
      <w:r>
        <w:rPr>
          <w:rFonts w:ascii="Times New Roman" w:cs="Times New Roman" w:eastAsia="Times New Roman" w:hAnsi="Times New Roman"/>
          <w:sz w:val="24"/>
          <w:szCs w:val="24"/>
          <w:lang w:eastAsia="en-IN"/>
        </w:rPr>
        <w:t xml:space="preserve"> comparable in all the three</w:t>
      </w:r>
      <w:r>
        <w:rPr>
          <w:rFonts w:ascii="Times New Roman" w:cs="Times New Roman" w:eastAsia="Times New Roman" w:hAnsi="Times New Roman"/>
          <w:sz w:val="24"/>
          <w:szCs w:val="24"/>
          <w:lang w:eastAsia="en-IN"/>
        </w:rPr>
        <w:t xml:space="preserve"> groups.</w:t>
      </w:r>
    </w:p>
    <w:p>
      <w:pPr>
        <w:pStyle w:val="style0"/>
        <w:spacing w:lineRule="auto" w:line="360"/>
        <w:jc w:val="both"/>
        <w:rPr>
          <w:rFonts w:ascii="Times New Roman" w:cs="Times New Roman" w:hAnsi="Times New Roman"/>
          <w:sz w:val="24"/>
          <w:szCs w:val="24"/>
          <w:lang w:eastAsia="en-IN"/>
        </w:rPr>
      </w:pPr>
      <w:r>
        <w:rPr>
          <w:rFonts w:ascii="Times New Roman" w:cs="Times New Roman" w:hAnsi="Times New Roman"/>
          <w:sz w:val="24"/>
          <w:szCs w:val="24"/>
          <w:lang w:eastAsia="en-IN"/>
        </w:rPr>
        <w:t>The mean time of successful insertion was significantly less in pre-inflated group and pre-inflated with external laryngeal lift group compared to deflated group (</w:t>
      </w:r>
      <w:r>
        <w:rPr>
          <w:rFonts w:ascii="Times New Roman" w:cs="Times New Roman" w:hAnsi="Times New Roman"/>
          <w:color w:val="000000"/>
          <w:sz w:val="24"/>
          <w:szCs w:val="24"/>
        </w:rPr>
        <w:t xml:space="preserve">16.25 ± 4.20 </w:t>
      </w:r>
      <w:r>
        <w:rPr>
          <w:rFonts w:ascii="Times New Roman" w:cs="Times New Roman" w:hAnsi="Times New Roman"/>
          <w:sz w:val="24"/>
          <w:szCs w:val="24"/>
          <w:lang w:eastAsia="en-IN"/>
        </w:rPr>
        <w:t>secs vs 20.35 5.81 secs, p value - 0.005, 16.70 +_ 4.57 vs</w:t>
      </w:r>
      <w:r>
        <w:rPr>
          <w:rFonts w:ascii="Times New Roman" w:cs="Times New Roman" w:hAnsi="Times New Roman"/>
          <w:color w:val="000000"/>
          <w:sz w:val="24"/>
          <w:szCs w:val="24"/>
        </w:rPr>
        <w:t xml:space="preserve"> 20.35 ± 5.81</w:t>
      </w:r>
      <w:r>
        <w:rPr>
          <w:rFonts w:ascii="Times New Roman" w:cs="Times New Roman" w:hAnsi="Times New Roman"/>
          <w:sz w:val="24"/>
          <w:szCs w:val="24"/>
          <w:lang w:eastAsia="en-IN"/>
        </w:rPr>
        <w:t>, p-value = 0.016 ). One case of failure of insertion was present in both Group D and Group EL. The blood tinging of SLMA on removal was significantly less with pre-inflated cuff technique compared to deflated technique ( 40% vs 16.7%, p value-0.045). Better fibreoptic view of Grade 1(40% vs 31%) and Grade 2 (46.7% vs 27.6%) were significantly more in pre inflated group compared to deflated group (p value- 0.049) .</w:t>
      </w:r>
      <w:r>
        <w:rPr>
          <w:rFonts w:ascii="Times New Roman" w:cs="Times New Roman" w:hAnsi="Times New Roman"/>
          <w:sz w:val="24"/>
          <w:szCs w:val="24"/>
          <w:lang w:eastAsia="en-IN"/>
        </w:rPr>
        <w:t xml:space="preserve"> Incidence of sore throat in first hour post surgery was significantly less in Group I compared to Group D (p value – 0.031). At 24 hrs post surgery, sore throat incidence was significantly less with Group EL compared to Group D and Group I (p value- 0.044 and 0.002). Incidence of hoarseness of voice at 24 hrs was significantly less with Group I compared to Group D (p value – 0.032). Dysphagia incidence after 24 hr post </w:t>
      </w:r>
      <w:r>
        <w:rPr>
          <w:rFonts w:ascii="Times New Roman" w:cs="Times New Roman" w:hAnsi="Times New Roman"/>
          <w:sz w:val="24"/>
          <w:szCs w:val="24"/>
          <w:lang w:eastAsia="en-IN"/>
        </w:rPr>
        <w:t>surgery was significantly more in Group D than Group I and Group EL (p value- 0.008 and 0.040).</w:t>
      </w:r>
    </w:p>
    <w:p>
      <w:pPr>
        <w:pStyle w:val="style157"/>
        <w:spacing w:lineRule="auto" w:line="360"/>
        <w:jc w:val="both"/>
        <w:rPr/>
      </w:pPr>
      <w:r>
        <w:rPr>
          <w:b/>
          <w:lang w:val="en-US" w:eastAsia="en-IN"/>
        </w:rPr>
        <w:t>Discussion :</w:t>
      </w:r>
      <w:r>
        <w:t xml:space="preserve"> </w:t>
      </w:r>
      <w:r>
        <w:t>Supraglottic airway devices are being used each day and are now considered the choice devices for airway management in majorit</w:t>
      </w:r>
      <w:r>
        <w:t>y</w:t>
      </w:r>
      <w:r>
        <w:t xml:space="preserve"> of cases. Anaesthesiologists strive to minimise iatrogenic injury to patients and to improve safety in the operating room</w:t>
      </w:r>
      <w:r>
        <w:t xml:space="preserve">. </w:t>
      </w:r>
      <w:r>
        <w:t>The success rate of device insertion depends upon the proper technique and minimising the pharyngolaryngeal complications</w:t>
      </w:r>
      <w:r>
        <w:t xml:space="preserve">. </w:t>
      </w:r>
      <w:r>
        <w:t>The important</w:t>
      </w:r>
      <w:r>
        <w:t xml:space="preserve"> finding </w:t>
      </w:r>
      <w:r>
        <w:t>of this study was</w:t>
      </w:r>
      <w:r>
        <w:t xml:space="preserve"> the mean </w:t>
      </w:r>
      <w:r>
        <w:t>insertion time</w:t>
      </w:r>
      <w:r>
        <w:t xml:space="preserve"> of SLMA was signif</w:t>
      </w:r>
      <w:r>
        <w:t>icantly less with pre inflated</w:t>
      </w:r>
      <w:r>
        <w:t xml:space="preserve"> cuff</w:t>
      </w:r>
      <w:r>
        <w:t xml:space="preserve"> and</w:t>
      </w:r>
      <w:r>
        <w:t xml:space="preserve"> pre inflated</w:t>
      </w:r>
      <w:r>
        <w:t xml:space="preserve"> cuff</w:t>
      </w:r>
      <w:r>
        <w:t xml:space="preserve"> with external laryngeal lift</w:t>
      </w:r>
      <w:r>
        <w:t xml:space="preserve"> technique</w:t>
      </w:r>
      <w:r>
        <w:t xml:space="preserve"> than standard deflated technique. </w:t>
      </w:r>
      <w:r>
        <w:t>This may be attributed to the additional time taken for the inflation of cuff and number of attempts for successful insertion was more in deflated cuff technique.</w:t>
      </w:r>
      <w:r>
        <w:t xml:space="preserve"> </w:t>
      </w:r>
      <w:r>
        <w:t xml:space="preserve">One case of failure of insertion was seen in both deflated technique and preinflated with external laryngeal lift technique. </w:t>
      </w:r>
    </w:p>
    <w:p>
      <w:pPr>
        <w:pStyle w:val="style157"/>
        <w:spacing w:lineRule="auto" w:line="360"/>
        <w:jc w:val="both"/>
        <w:rPr/>
      </w:pPr>
      <w:r>
        <w:t xml:space="preserve"> </w:t>
      </w:r>
      <w:r>
        <w:rPr>
          <w:lang w:eastAsia="en-IN"/>
        </w:rPr>
        <w:t>The blood tinging of SLMA on removal</w:t>
      </w:r>
      <w:r>
        <w:rPr>
          <w:lang w:eastAsia="en-IN"/>
        </w:rPr>
        <w:t xml:space="preserve"> and incidence of sorethroat</w:t>
      </w:r>
      <w:r>
        <w:rPr>
          <w:lang w:eastAsia="en-IN"/>
        </w:rPr>
        <w:t xml:space="preserve"> in first hour post surgery</w:t>
      </w:r>
      <w:r>
        <w:rPr>
          <w:lang w:eastAsia="en-IN"/>
        </w:rPr>
        <w:t xml:space="preserve"> and dysphagia</w:t>
      </w:r>
      <w:r>
        <w:rPr>
          <w:lang w:eastAsia="en-IN"/>
        </w:rPr>
        <w:t xml:space="preserve"> was significantly less with pre-inflated cuff technique compared to deflated technique</w:t>
      </w:r>
      <w:r>
        <w:rPr>
          <w:lang w:eastAsia="en-IN"/>
        </w:rPr>
        <w:t xml:space="preserve">. This may be due to decreased resistance while insertion, lesser number of </w:t>
      </w:r>
      <w:r>
        <w:rPr>
          <w:lang w:eastAsia="en-IN"/>
        </w:rPr>
        <w:t>attempts taken and better alignment of airway structures as shown by significantly good fiberoptic view of Grade 1 and 2 in pre-inflated cuff technique.</w:t>
      </w:r>
      <w:r>
        <w:t xml:space="preserve"> </w:t>
      </w:r>
    </w:p>
    <w:p>
      <w:pPr>
        <w:pStyle w:val="style157"/>
        <w:spacing w:lineRule="auto" w:line="360"/>
        <w:rPr>
          <w:lang w:eastAsia="en-IN"/>
        </w:rPr>
      </w:pPr>
      <w:r>
        <w:rPr>
          <w:lang w:eastAsia="en-IN"/>
        </w:rPr>
        <w:t xml:space="preserve"> </w:t>
      </w:r>
      <w:r>
        <w:rPr>
          <w:lang w:eastAsia="en-IN"/>
        </w:rPr>
        <w:t>Only few patients complained of post operative pharyngolaryngeal complications at 24hrs. Among them pre inflated technique with external laryngeal lift showed significantly less incidence of hoarseness of voice and dysphagia.</w:t>
      </w:r>
    </w:p>
    <w:p>
      <w:pPr>
        <w:pStyle w:val="style157"/>
        <w:spacing w:lineRule="auto" w:line="360"/>
        <w:rPr>
          <w:vertAlign w:val="superscript"/>
        </w:rPr>
      </w:pPr>
      <w:r>
        <w:t xml:space="preserve"> </w:t>
      </w:r>
      <w:r>
        <w:rPr>
          <w:b/>
        </w:rPr>
        <w:t>Hu et al</w:t>
      </w:r>
      <w:r>
        <w:t xml:space="preserve"> in their</w:t>
      </w:r>
      <w:r>
        <w:t xml:space="preserve"> study showed that there is no difference in ease of insertion and post operative pharyngolaryngeal complications using LMA unique inserted with deflated technique, pre inflated technique and pre inflated technique with external laryngeal lift. The blood tinging in LMA was significantly less with ext</w:t>
      </w:r>
      <w:r>
        <w:t>ernal laryngeal lift technique.</w:t>
      </w:r>
      <w:r>
        <w:rPr>
          <w:vertAlign w:val="superscript"/>
        </w:rPr>
        <w:t>6</w:t>
      </w:r>
    </w:p>
    <w:p>
      <w:pPr>
        <w:pStyle w:val="style157"/>
        <w:spacing w:lineRule="auto" w:line="360"/>
        <w:rPr>
          <w:vertAlign w:val="superscript"/>
          <w:lang w:eastAsia="en-IN"/>
        </w:rPr>
      </w:pPr>
      <w:r>
        <w:rPr>
          <w:b/>
        </w:rPr>
        <w:t>Wakeling et al</w:t>
      </w:r>
      <w:r>
        <w:t xml:space="preserve"> compared standard LMA deflated cuff technique with the LMA fully inflated cuff technique for the success rate of insertion and sore throat</w:t>
      </w:r>
      <w:r>
        <w:t>. They concluded that both had high success rate of insertion and i</w:t>
      </w:r>
      <w:r>
        <w:t>ncidence of sore throat was significantly less in fully inflated technique</w:t>
      </w:r>
      <w:r>
        <w:t>.</w:t>
      </w:r>
      <w:r>
        <w:rPr>
          <w:vertAlign w:val="superscript"/>
        </w:rPr>
        <w:t>7</w:t>
      </w:r>
    </w:p>
    <w:p>
      <w:pPr>
        <w:pStyle w:val="style157"/>
        <w:spacing w:lineRule="auto" w:line="360"/>
        <w:rPr/>
      </w:pPr>
    </w:p>
    <w:p>
      <w:pPr>
        <w:pStyle w:val="style157"/>
        <w:spacing w:lineRule="auto" w:line="360"/>
        <w:rPr/>
      </w:pPr>
      <w:r>
        <w:rPr>
          <w:rFonts w:eastAsia="Calibri"/>
          <w:b/>
          <w:lang w:val="en-US"/>
        </w:rPr>
        <w:t>Conclusion</w:t>
      </w:r>
      <w:r>
        <w:rPr>
          <w:rFonts w:eastAsia="Calibri"/>
          <w:lang w:val="en-US"/>
        </w:rPr>
        <w:t>:</w:t>
      </w:r>
      <w:r>
        <w:t xml:space="preserve"> </w:t>
      </w:r>
      <w:r>
        <w:t xml:space="preserve">The basic LMA insertion technique endorsed by the device manufacturers recommends the use of deflated technique, but this method does not align the pharyngeal and laryngeal axes, especially when oropharyngeal muscle tone is lost with the induction of anaesthesia. Although LMA device design changes have been made </w:t>
      </w:r>
      <w:r>
        <w:t xml:space="preserve">but </w:t>
      </w:r>
      <w:r>
        <w:t xml:space="preserve">no newer methods of </w:t>
      </w:r>
      <w:r>
        <w:t>insertion have been endorsed.</w:t>
      </w:r>
      <w:r>
        <w:t xml:space="preserve"> We recommend</w:t>
      </w:r>
      <w:r>
        <w:t xml:space="preserve"> the use of </w:t>
      </w:r>
      <w:r>
        <w:t xml:space="preserve"> LMA supreme with pre inflated cuff technique </w:t>
      </w:r>
      <w:r>
        <w:t>for successful insertion with lesser resistance, good fibreoptic</w:t>
      </w:r>
      <w:r>
        <w:t xml:space="preserve"> airway</w:t>
      </w:r>
      <w:r>
        <w:t xml:space="preserve"> view and lesser pharyngolaryngeal morbidity.</w:t>
      </w:r>
    </w:p>
    <w:p>
      <w:pPr>
        <w:pStyle w:val="style157"/>
        <w:spacing w:lineRule="auto" w:line="360"/>
        <w:rPr>
          <w:lang w:eastAsia="en-IN"/>
        </w:rPr>
      </w:pPr>
    </w:p>
    <w:p>
      <w:pPr>
        <w:pStyle w:val="style157"/>
        <w:spacing w:lineRule="auto" w:line="360"/>
        <w:rPr>
          <w:lang w:eastAsia="en-IN"/>
        </w:rPr>
      </w:pPr>
    </w:p>
    <w:p>
      <w:pPr>
        <w:pStyle w:val="style157"/>
        <w:spacing w:lineRule="auto" w:line="360"/>
        <w:jc w:val="both"/>
        <w:rPr>
          <w:rFonts w:eastAsia="Calibri"/>
          <w:sz w:val="28"/>
          <w:szCs w:val="28"/>
          <w:lang w:eastAsia="en-IN"/>
        </w:rPr>
      </w:pPr>
      <w:r>
        <w:rPr>
          <w:b/>
          <w:lang w:eastAsia="en-IN"/>
        </w:rPr>
        <w:t>References :</w:t>
      </w:r>
      <w:r>
        <w:rPr>
          <w:rFonts w:eastAsia="Calibri"/>
          <w:sz w:val="28"/>
          <w:szCs w:val="28"/>
          <w:lang w:eastAsia="en-IN"/>
        </w:rPr>
        <w:t xml:space="preserve"> </w:t>
      </w:r>
    </w:p>
    <w:p>
      <w:pPr>
        <w:pStyle w:val="style157"/>
        <w:spacing w:lineRule="auto" w:line="360"/>
        <w:jc w:val="both"/>
        <w:rPr>
          <w:rFonts w:eastAsia="Calibri"/>
          <w:lang w:val="en-IN" w:eastAsia="en-IN"/>
        </w:rPr>
      </w:pPr>
      <w:r>
        <w:rPr>
          <w:rFonts w:eastAsia="Calibri"/>
          <w:lang w:val="en-IN" w:eastAsia="en-IN"/>
        </w:rPr>
        <w:t>1</w:t>
      </w:r>
      <w:r>
        <w:rPr>
          <w:rFonts w:eastAsia="Calibri"/>
          <w:lang w:val="en-IN" w:eastAsia="en-IN"/>
        </w:rPr>
        <w:t xml:space="preserve">. </w:t>
      </w:r>
      <w:r>
        <w:rPr>
          <w:rFonts w:eastAsia="Calibri"/>
          <w:lang w:val="en-IN" w:eastAsia="en-IN"/>
        </w:rPr>
        <w:t>Apfelbaum JL, Hagberg CA</w:t>
      </w:r>
      <w:r>
        <w:rPr>
          <w:rFonts w:eastAsia="Calibri"/>
          <w:lang w:val="en-IN" w:eastAsia="en-IN"/>
        </w:rPr>
        <w:t>, Caplan RA, Blitt CD, Connis RT, Nickinovich DG, et al. Practice guidelines for</w:t>
      </w:r>
      <w:r>
        <w:t xml:space="preserve"> </w:t>
      </w:r>
      <w:r>
        <w:rPr>
          <w:rFonts w:eastAsia="Calibri"/>
          <w:lang w:val="en-IN" w:eastAsia="en-IN"/>
        </w:rPr>
        <w:t>management of the difficult airway: an updated report by the American</w:t>
      </w:r>
      <w:r>
        <w:t xml:space="preserve"> </w:t>
      </w:r>
      <w:r>
        <w:rPr>
          <w:rFonts w:eastAsia="Calibri"/>
          <w:lang w:val="en-IN" w:eastAsia="en-IN"/>
        </w:rPr>
        <w:t>Society of Anesthesiologists Task Force on Management of the Difficult</w:t>
      </w:r>
      <w:r>
        <w:t xml:space="preserve"> </w:t>
      </w:r>
      <w:r>
        <w:rPr>
          <w:rFonts w:eastAsia="Calibri"/>
          <w:lang w:val="en-IN" w:eastAsia="en-IN"/>
        </w:rPr>
        <w:t xml:space="preserve">Airway. Anesthesiology 2013; 118:251–70   </w:t>
      </w:r>
    </w:p>
    <w:p>
      <w:pPr>
        <w:pStyle w:val="style157"/>
        <w:spacing w:lineRule="auto" w:line="360"/>
        <w:jc w:val="both"/>
        <w:rPr>
          <w:rFonts w:eastAsia="Calibri"/>
          <w:lang w:val="en-IN" w:eastAsia="en-IN"/>
        </w:rPr>
      </w:pPr>
      <w:r>
        <w:rPr>
          <w:rFonts w:eastAsia="Calibri"/>
          <w:lang w:val="en-IN" w:eastAsia="en-IN"/>
        </w:rPr>
        <w:t xml:space="preserve">2. </w:t>
      </w:r>
      <w:r>
        <w:rPr>
          <w:rFonts w:eastAsia="Calibri"/>
          <w:lang w:val="en-IN" w:eastAsia="en-IN"/>
        </w:rPr>
        <w:t>McHardy FE, Chung F. Postoperative sore throat: cause, prevention and treatment. Anaesthesia 1999; 54:444–53.</w:t>
      </w:r>
    </w:p>
    <w:p>
      <w:pPr>
        <w:pStyle w:val="style157"/>
        <w:spacing w:lineRule="auto" w:line="360"/>
        <w:jc w:val="both"/>
        <w:rPr>
          <w:rFonts w:eastAsia="Calibri"/>
          <w:lang w:val="en-IN" w:eastAsia="en-IN"/>
        </w:rPr>
      </w:pPr>
      <w:r>
        <w:rPr>
          <w:rFonts w:eastAsia="Calibri"/>
          <w:lang w:val="en-IN" w:eastAsia="en-IN"/>
        </w:rPr>
        <w:t>3. Seet E, Yousaf F, Gupta S, Subramanyam R, Wong DT, Chung F. Use of manometry for laryngeal mask airway reduces postoperative pharyngolaryngeal adverse events: a prospective, randomized trial. Anesthesiology 2010; 112:652–57.</w:t>
      </w:r>
    </w:p>
    <w:p>
      <w:pPr>
        <w:pStyle w:val="style157"/>
        <w:spacing w:lineRule="auto" w:line="360"/>
        <w:jc w:val="both"/>
        <w:rPr>
          <w:rFonts w:eastAsia="Calibri"/>
          <w:lang w:val="en-IN" w:eastAsia="en-IN"/>
        </w:rPr>
      </w:pPr>
      <w:r>
        <w:rPr>
          <w:rFonts w:eastAsia="Calibri"/>
          <w:lang w:val="en-IN" w:eastAsia="en-IN"/>
        </w:rPr>
        <w:t>4. Brimacombe J, Holyoake L, Keller C, Brimacombe N, Scully M, Barry J, et al. Pharyngolaryngeal, neck, and jaw discomfort after anesthesia with face mask and laryngeal mask airway at high and low cuff volumes in male and females. Anesthesiology 2000; 93:26–31</w:t>
      </w:r>
    </w:p>
    <w:p>
      <w:pPr>
        <w:pStyle w:val="style157"/>
        <w:spacing w:lineRule="auto" w:line="360"/>
        <w:jc w:val="both"/>
        <w:rPr>
          <w:rFonts w:eastAsia="Calibri"/>
          <w:lang w:val="en-IN" w:eastAsia="en-IN"/>
        </w:rPr>
      </w:pPr>
      <w:r>
        <w:rPr>
          <w:rFonts w:eastAsia="Calibri"/>
          <w:lang w:val="en-IN" w:eastAsia="en-IN"/>
        </w:rPr>
        <w:t>5</w:t>
      </w:r>
      <w:r>
        <w:rPr>
          <w:rFonts w:eastAsia="Calibri"/>
          <w:lang w:val="en-IN" w:eastAsia="en-IN"/>
        </w:rPr>
        <w:t>.</w:t>
      </w:r>
      <w:r>
        <w:rPr>
          <w:rFonts w:eastAsia="Calibri"/>
          <w:lang w:val="en-IN" w:eastAsia="en-IN"/>
        </w:rPr>
        <w:t xml:space="preserve"> </w:t>
      </w:r>
      <w:r>
        <w:rPr>
          <w:rFonts w:eastAsia="Calibri"/>
          <w:lang w:val="en-IN" w:eastAsia="en-IN"/>
        </w:rPr>
        <w:t>Sumathi PA, Shenoy T, Ambareesh M, Krishna HM. Controlled comparison between betamethasone gel and lidocaine jelly applied over tracheal tube to reduce post operative sore throat, cough and hoarseness of voice .Br J Anaesth 2008;100(2):215-18.</w:t>
      </w:r>
    </w:p>
    <w:p>
      <w:pPr>
        <w:pStyle w:val="style157"/>
        <w:spacing w:lineRule="auto" w:line="360"/>
        <w:jc w:val="both"/>
        <w:rPr>
          <w:rFonts w:eastAsia="Calibri"/>
          <w:lang w:val="en-IN" w:eastAsia="en-IN"/>
        </w:rPr>
      </w:pPr>
      <w:r>
        <w:rPr>
          <w:rFonts w:eastAsia="Calibri"/>
          <w:lang w:val="en-IN" w:eastAsia="en-IN"/>
        </w:rPr>
        <w:t>6</w:t>
      </w:r>
      <w:r>
        <w:rPr>
          <w:rFonts w:eastAsia="Calibri"/>
          <w:lang w:val="en-IN" w:eastAsia="en-IN"/>
        </w:rPr>
        <w:t>. Hu LQ, Leavitt OS, Malwitz C, Haisook K, Doty RA, McCarthy RJl. Comparison of laryngeal mask airway insertion methods, including the external laryngeal lift with pre-inflated cuff, on postoperative pharyngolaryngeal complications.Eur J Anaesthesiology 2017; 34:448-55</w:t>
      </w:r>
    </w:p>
    <w:p>
      <w:pPr>
        <w:pStyle w:val="style0"/>
        <w:spacing w:lineRule="auto" w:line="360"/>
        <w:rPr>
          <w:rFonts w:ascii="Times New Roman" w:cs="Times New Roman" w:hAnsi="Times New Roman"/>
          <w:sz w:val="24"/>
          <w:szCs w:val="24"/>
        </w:rPr>
      </w:pPr>
      <w:r>
        <w:rPr>
          <w:rFonts w:ascii="Times New Roman" w:cs="Times New Roman" w:eastAsia="Calibri" w:hAnsi="Times New Roman"/>
          <w:sz w:val="24"/>
          <w:szCs w:val="24"/>
          <w:lang w:eastAsia="en-IN"/>
        </w:rPr>
        <w:t>7</w:t>
      </w:r>
      <w:r>
        <w:rPr>
          <w:rFonts w:ascii="Times New Roman" w:cs="Times New Roman" w:eastAsia="Calibri" w:hAnsi="Times New Roman"/>
          <w:sz w:val="24"/>
          <w:szCs w:val="24"/>
          <w:lang w:eastAsia="en-IN"/>
        </w:rPr>
        <w:t>. Wakeling HG, Butler PJ, Baxter PJ. The laryngeal mask airway: a comparison between two insertion techniques. Anesth Analg 1997; 85:687–90.</w:t>
      </w:r>
    </w:p>
    <w:p>
      <w:pPr>
        <w:pStyle w:val="style157"/>
        <w:spacing w:lineRule="auto" w:line="360"/>
        <w:rPr>
          <w:lang w:eastAsia="en-IN"/>
        </w:rPr>
      </w:pPr>
    </w:p>
    <w:sectPr>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altName w:val="Symbol"/>
    <w:panose1 w:val="05050102010007020507"/>
    <w:charset w:val="02"/>
    <w:family w:val="roman"/>
    <w:pitch w:val="variable"/>
    <w:sig w:usb0="00000000" w:usb1="10000000" w:usb2="00000000" w:usb3="00000000" w:csb0="80000000" w:csb1="00000000"/>
  </w:font>
  <w:font w:name="Times New Roman">
    <w:altName w:val="Times New Roman"/>
    <w:panose1 w:val="02020603050004020304"/>
    <w:charset w:val="00"/>
    <w:family w:val="roman"/>
    <w:pitch w:val="variable"/>
    <w:sig w:usb0="E0002EFF" w:usb1="C0007843" w:usb2="00000009" w:usb3="00000000" w:csb0="000001FF" w:csb1="00000000"/>
  </w:font>
  <w:font w:name="Courier New">
    <w:altName w:val="Courier New"/>
    <w:panose1 w:val="02070309020002020404"/>
    <w:charset w:val="00"/>
    <w:family w:val="modern"/>
    <w:pitch w:val="fixed"/>
    <w:sig w:usb0="E0002E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Calibri">
    <w:altName w:val="Calibri"/>
    <w:panose1 w:val="020f0502020002030204"/>
    <w:charset w:val="00"/>
    <w:family w:val="swiss"/>
    <w:pitch w:val="variable"/>
    <w:sig w:usb0="E00002FF" w:usb1="4000ACFF" w:usb2="00000001" w:usb3="00000000" w:csb0="0000019F" w:csb1="00000000"/>
  </w:font>
  <w:font w:name="Cambria">
    <w:altName w:val="Cambria"/>
    <w:panose1 w:val="02040503050004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3CFE2F0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cs="Courier New" w:hAnsi="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cs="Courier New" w:hAnsi="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cs="Courier New" w:hAnsi="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nsid w:val="00000001"/>
    <w:multiLevelType w:val="hybridMultilevel"/>
    <w:tmpl w:val="4B9871E2"/>
    <w:lvl w:ilvl="0" w:tplc="40090001">
      <w:start w:val="1"/>
      <w:numFmt w:val="bullet"/>
      <w:lvlText w:val=""/>
      <w:lvlJc w:val="left"/>
      <w:pPr>
        <w:ind w:left="2595" w:hanging="360"/>
      </w:pPr>
      <w:rPr>
        <w:rFonts w:ascii="Symbol" w:hAnsi="Symbol" w:hint="default"/>
      </w:rPr>
    </w:lvl>
    <w:lvl w:ilvl="1" w:tplc="40090003" w:tentative="1">
      <w:start w:val="1"/>
      <w:numFmt w:val="bullet"/>
      <w:lvlText w:val="o"/>
      <w:lvlJc w:val="left"/>
      <w:pPr>
        <w:ind w:left="3315" w:hanging="360"/>
      </w:pPr>
      <w:rPr>
        <w:rFonts w:ascii="Courier New" w:cs="Courier New" w:hAnsi="Courier New" w:hint="default"/>
      </w:rPr>
    </w:lvl>
    <w:lvl w:ilvl="2" w:tplc="40090005" w:tentative="1">
      <w:start w:val="1"/>
      <w:numFmt w:val="bullet"/>
      <w:lvlText w:val=""/>
      <w:lvlJc w:val="left"/>
      <w:pPr>
        <w:ind w:left="4035" w:hanging="360"/>
      </w:pPr>
      <w:rPr>
        <w:rFonts w:ascii="Wingdings" w:hAnsi="Wingdings" w:hint="default"/>
      </w:rPr>
    </w:lvl>
    <w:lvl w:ilvl="3" w:tplc="40090001" w:tentative="1">
      <w:start w:val="1"/>
      <w:numFmt w:val="bullet"/>
      <w:lvlText w:val=""/>
      <w:lvlJc w:val="left"/>
      <w:pPr>
        <w:ind w:left="4755" w:hanging="360"/>
      </w:pPr>
      <w:rPr>
        <w:rFonts w:ascii="Symbol" w:hAnsi="Symbol" w:hint="default"/>
      </w:rPr>
    </w:lvl>
    <w:lvl w:ilvl="4" w:tplc="40090003" w:tentative="1">
      <w:start w:val="1"/>
      <w:numFmt w:val="bullet"/>
      <w:lvlText w:val="o"/>
      <w:lvlJc w:val="left"/>
      <w:pPr>
        <w:ind w:left="5475" w:hanging="360"/>
      </w:pPr>
      <w:rPr>
        <w:rFonts w:ascii="Courier New" w:cs="Courier New" w:hAnsi="Courier New" w:hint="default"/>
      </w:rPr>
    </w:lvl>
    <w:lvl w:ilvl="5" w:tplc="40090005" w:tentative="1">
      <w:start w:val="1"/>
      <w:numFmt w:val="bullet"/>
      <w:lvlText w:val=""/>
      <w:lvlJc w:val="left"/>
      <w:pPr>
        <w:ind w:left="6195" w:hanging="360"/>
      </w:pPr>
      <w:rPr>
        <w:rFonts w:ascii="Wingdings" w:hAnsi="Wingdings" w:hint="default"/>
      </w:rPr>
    </w:lvl>
    <w:lvl w:ilvl="6" w:tplc="40090001" w:tentative="1">
      <w:start w:val="1"/>
      <w:numFmt w:val="bullet"/>
      <w:lvlText w:val=""/>
      <w:lvlJc w:val="left"/>
      <w:pPr>
        <w:ind w:left="6915" w:hanging="360"/>
      </w:pPr>
      <w:rPr>
        <w:rFonts w:ascii="Symbol" w:hAnsi="Symbol" w:hint="default"/>
      </w:rPr>
    </w:lvl>
    <w:lvl w:ilvl="7" w:tplc="40090003" w:tentative="1">
      <w:start w:val="1"/>
      <w:numFmt w:val="bullet"/>
      <w:lvlText w:val="o"/>
      <w:lvlJc w:val="left"/>
      <w:pPr>
        <w:ind w:left="7635" w:hanging="360"/>
      </w:pPr>
      <w:rPr>
        <w:rFonts w:ascii="Courier New" w:cs="Courier New" w:hAnsi="Courier New" w:hint="default"/>
      </w:rPr>
    </w:lvl>
    <w:lvl w:ilvl="8" w:tplc="40090005" w:tentative="1">
      <w:start w:val="1"/>
      <w:numFmt w:val="bullet"/>
      <w:lvlText w:val=""/>
      <w:lvlJc w:val="left"/>
      <w:pPr>
        <w:ind w:left="8355" w:hanging="360"/>
      </w:pPr>
      <w:rPr>
        <w:rFonts w:ascii="Wingdings" w:hAnsi="Wingdings" w:hint="default"/>
      </w:rPr>
    </w:lvl>
  </w:abstractNum>
  <w:abstractNum w:abstractNumId="2">
    <w:nsid w:val="00000002"/>
    <w:multiLevelType w:val="multilevel"/>
    <w:tmpl w:val="027043E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00000003"/>
    <w:multiLevelType w:val="multilevel"/>
    <w:tmpl w:val="04C5211B"/>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4">
    <w:nsid w:val="00000004"/>
    <w:multiLevelType w:val="hybridMultilevel"/>
    <w:tmpl w:val="F946B7A4"/>
    <w:lvl w:ilvl="0" w:tplc="40090001">
      <w:start w:val="1"/>
      <w:numFmt w:val="bullet"/>
      <w:lvlText w:val=""/>
      <w:lvlJc w:val="left"/>
      <w:pPr>
        <w:ind w:left="928" w:hanging="360"/>
      </w:pPr>
      <w:rPr>
        <w:rFonts w:ascii="Symbol" w:hAnsi="Symbol" w:hint="default"/>
      </w:rPr>
    </w:lvl>
    <w:lvl w:ilvl="1" w:tplc="40090003" w:tentative="1">
      <w:start w:val="1"/>
      <w:numFmt w:val="bullet"/>
      <w:lvlText w:val="o"/>
      <w:lvlJc w:val="left"/>
      <w:pPr>
        <w:ind w:left="1621" w:hanging="360"/>
      </w:pPr>
      <w:rPr>
        <w:rFonts w:ascii="Courier New" w:cs="Courier New" w:hAnsi="Courier New" w:hint="default"/>
      </w:rPr>
    </w:lvl>
    <w:lvl w:ilvl="2" w:tplc="40090005" w:tentative="1">
      <w:start w:val="1"/>
      <w:numFmt w:val="bullet"/>
      <w:lvlText w:val=""/>
      <w:lvlJc w:val="left"/>
      <w:pPr>
        <w:ind w:left="2341" w:hanging="360"/>
      </w:pPr>
      <w:rPr>
        <w:rFonts w:ascii="Wingdings" w:hAnsi="Wingdings" w:hint="default"/>
      </w:rPr>
    </w:lvl>
    <w:lvl w:ilvl="3" w:tplc="40090001" w:tentative="1">
      <w:start w:val="1"/>
      <w:numFmt w:val="bullet"/>
      <w:lvlText w:val=""/>
      <w:lvlJc w:val="left"/>
      <w:pPr>
        <w:ind w:left="3061" w:hanging="360"/>
      </w:pPr>
      <w:rPr>
        <w:rFonts w:ascii="Symbol" w:hAnsi="Symbol" w:hint="default"/>
      </w:rPr>
    </w:lvl>
    <w:lvl w:ilvl="4" w:tplc="40090003" w:tentative="1">
      <w:start w:val="1"/>
      <w:numFmt w:val="bullet"/>
      <w:lvlText w:val="o"/>
      <w:lvlJc w:val="left"/>
      <w:pPr>
        <w:ind w:left="3781" w:hanging="360"/>
      </w:pPr>
      <w:rPr>
        <w:rFonts w:ascii="Courier New" w:cs="Courier New" w:hAnsi="Courier New" w:hint="default"/>
      </w:rPr>
    </w:lvl>
    <w:lvl w:ilvl="5" w:tplc="40090005" w:tentative="1">
      <w:start w:val="1"/>
      <w:numFmt w:val="bullet"/>
      <w:lvlText w:val=""/>
      <w:lvlJc w:val="left"/>
      <w:pPr>
        <w:ind w:left="4501" w:hanging="360"/>
      </w:pPr>
      <w:rPr>
        <w:rFonts w:ascii="Wingdings" w:hAnsi="Wingdings" w:hint="default"/>
      </w:rPr>
    </w:lvl>
    <w:lvl w:ilvl="6" w:tplc="40090001" w:tentative="1">
      <w:start w:val="1"/>
      <w:numFmt w:val="bullet"/>
      <w:lvlText w:val=""/>
      <w:lvlJc w:val="left"/>
      <w:pPr>
        <w:ind w:left="5221" w:hanging="360"/>
      </w:pPr>
      <w:rPr>
        <w:rFonts w:ascii="Symbol" w:hAnsi="Symbol" w:hint="default"/>
      </w:rPr>
    </w:lvl>
    <w:lvl w:ilvl="7" w:tplc="40090003" w:tentative="1">
      <w:start w:val="1"/>
      <w:numFmt w:val="bullet"/>
      <w:lvlText w:val="o"/>
      <w:lvlJc w:val="left"/>
      <w:pPr>
        <w:ind w:left="5941" w:hanging="360"/>
      </w:pPr>
      <w:rPr>
        <w:rFonts w:ascii="Courier New" w:cs="Courier New" w:hAnsi="Courier New" w:hint="default"/>
      </w:rPr>
    </w:lvl>
    <w:lvl w:ilvl="8" w:tplc="40090005" w:tentative="1">
      <w:start w:val="1"/>
      <w:numFmt w:val="bullet"/>
      <w:lvlText w:val=""/>
      <w:lvlJc w:val="left"/>
      <w:pPr>
        <w:ind w:left="6661" w:hanging="360"/>
      </w:pPr>
      <w:rPr>
        <w:rFonts w:ascii="Wingdings" w:hAnsi="Wingdings" w:hint="default"/>
      </w:rPr>
    </w:lvl>
  </w:abstractNum>
  <w:abstractNum w:abstractNumId="5">
    <w:nsid w:val="00000005"/>
    <w:multiLevelType w:val="hybridMultilevel"/>
    <w:tmpl w:val="F99C8D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0000006"/>
    <w:multiLevelType w:val="multilevel"/>
    <w:tmpl w:val="180CC752"/>
    <w:lvl w:ilvl="0">
      <w:start w:val="1"/>
      <w:numFmt w:val="bullet"/>
      <w:lvlText w:val=""/>
      <w:lvlJc w:val="left"/>
      <w:pPr>
        <w:ind w:left="720" w:hanging="360"/>
      </w:pPr>
      <w:rPr>
        <w:rFonts w:ascii="Symbol" w:hAnsi="Symbo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nsid w:val="00000007"/>
    <w:multiLevelType w:val="hybridMultilevel"/>
    <w:tmpl w:val="D12866AA"/>
    <w:lvl w:ilvl="0" w:tplc="4009000F">
      <w:start w:val="1"/>
      <w:numFmt w:val="decimal"/>
      <w:lvlText w:val="%1."/>
      <w:lvlJc w:val="left"/>
      <w:pPr>
        <w:ind w:left="360" w:hanging="360"/>
      </w:p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8">
    <w:nsid w:val="00000008"/>
    <w:multiLevelType w:val="hybridMultilevel"/>
    <w:tmpl w:val="747885EC"/>
    <w:lvl w:ilvl="0" w:tplc="4009000F">
      <w:start w:val="1"/>
      <w:numFmt w:val="decimal"/>
      <w:lvlText w:val="%1."/>
      <w:lvlJc w:val="left"/>
      <w:pPr>
        <w:ind w:left="786"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9">
    <w:nsid w:val="00000009"/>
    <w:multiLevelType w:val="hybridMultilevel"/>
    <w:tmpl w:val="A8A89FD4"/>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0">
    <w:nsid w:val="0000000A"/>
    <w:multiLevelType w:val="multilevel"/>
    <w:tmpl w:val="15B86AA7"/>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nsid w:val="0000000B"/>
    <w:multiLevelType w:val="hybridMultilevel"/>
    <w:tmpl w:val="406E39C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nsid w:val="0000000C"/>
    <w:multiLevelType w:val="multilevel"/>
    <w:tmpl w:val="1FCB69B9"/>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nsid w:val="0000000D"/>
    <w:multiLevelType w:val="multilevel"/>
    <w:tmpl w:val="247F488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nsid w:val="0000000E"/>
    <w:multiLevelType w:val="hybridMultilevel"/>
    <w:tmpl w:val="F086E47E"/>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5">
    <w:nsid w:val="0000000F"/>
    <w:multiLevelType w:val="multilevel"/>
    <w:tmpl w:val="2C114B6C"/>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nsid w:val="00000010"/>
    <w:multiLevelType w:val="hybridMultilevel"/>
    <w:tmpl w:val="68CCD866"/>
    <w:lvl w:ilvl="0" w:tplc="4009000F">
      <w:start w:val="1"/>
      <w:numFmt w:val="decimal"/>
      <w:lvlText w:val="%1."/>
      <w:lvlJc w:val="left"/>
      <w:pPr>
        <w:ind w:left="1740" w:hanging="360"/>
      </w:pPr>
    </w:lvl>
    <w:lvl w:ilvl="1" w:tplc="40090019" w:tentative="1">
      <w:start w:val="1"/>
      <w:numFmt w:val="lowerLetter"/>
      <w:lvlText w:val="%2."/>
      <w:lvlJc w:val="left"/>
      <w:pPr>
        <w:ind w:left="2460" w:hanging="360"/>
      </w:pPr>
    </w:lvl>
    <w:lvl w:ilvl="2" w:tplc="4009001B" w:tentative="1">
      <w:start w:val="1"/>
      <w:numFmt w:val="lowerRoman"/>
      <w:lvlText w:val="%3."/>
      <w:lvlJc w:val="right"/>
      <w:pPr>
        <w:ind w:left="3180" w:hanging="180"/>
      </w:pPr>
    </w:lvl>
    <w:lvl w:ilvl="3" w:tplc="4009000F" w:tentative="1">
      <w:start w:val="1"/>
      <w:numFmt w:val="decimal"/>
      <w:lvlText w:val="%4."/>
      <w:lvlJc w:val="left"/>
      <w:pPr>
        <w:ind w:left="3900" w:hanging="360"/>
      </w:pPr>
    </w:lvl>
    <w:lvl w:ilvl="4" w:tplc="40090019" w:tentative="1">
      <w:start w:val="1"/>
      <w:numFmt w:val="lowerLetter"/>
      <w:lvlText w:val="%5."/>
      <w:lvlJc w:val="left"/>
      <w:pPr>
        <w:ind w:left="4620" w:hanging="360"/>
      </w:pPr>
    </w:lvl>
    <w:lvl w:ilvl="5" w:tplc="4009001B" w:tentative="1">
      <w:start w:val="1"/>
      <w:numFmt w:val="lowerRoman"/>
      <w:lvlText w:val="%6."/>
      <w:lvlJc w:val="right"/>
      <w:pPr>
        <w:ind w:left="5340" w:hanging="180"/>
      </w:pPr>
    </w:lvl>
    <w:lvl w:ilvl="6" w:tplc="4009000F" w:tentative="1">
      <w:start w:val="1"/>
      <w:numFmt w:val="decimal"/>
      <w:lvlText w:val="%7."/>
      <w:lvlJc w:val="left"/>
      <w:pPr>
        <w:ind w:left="6060" w:hanging="360"/>
      </w:pPr>
    </w:lvl>
    <w:lvl w:ilvl="7" w:tplc="40090019" w:tentative="1">
      <w:start w:val="1"/>
      <w:numFmt w:val="lowerLetter"/>
      <w:lvlText w:val="%8."/>
      <w:lvlJc w:val="left"/>
      <w:pPr>
        <w:ind w:left="6780" w:hanging="360"/>
      </w:pPr>
    </w:lvl>
    <w:lvl w:ilvl="8" w:tplc="4009001B" w:tentative="1">
      <w:start w:val="1"/>
      <w:numFmt w:val="lowerRoman"/>
      <w:lvlText w:val="%9."/>
      <w:lvlJc w:val="right"/>
      <w:pPr>
        <w:ind w:left="7500" w:hanging="180"/>
      </w:pPr>
    </w:lvl>
  </w:abstractNum>
  <w:abstractNum w:abstractNumId="17">
    <w:nsid w:val="00000011"/>
    <w:multiLevelType w:val="hybridMultilevel"/>
    <w:tmpl w:val="432098D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cs="Courier New" w:hAnsi="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cs="Courier New" w:hAnsi="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cs="Courier New" w:hAnsi="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8">
    <w:nsid w:val="00000012"/>
    <w:multiLevelType w:val="multilevel"/>
    <w:tmpl w:val="38EC777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nsid w:val="00000013"/>
    <w:multiLevelType w:val="multilevel"/>
    <w:tmpl w:val="180CC752"/>
    <w:lvl w:ilvl="0">
      <w:start w:val="1"/>
      <w:numFmt w:val="bullet"/>
      <w:lvlText w:val=""/>
      <w:lvlJc w:val="left"/>
      <w:pPr>
        <w:ind w:left="720" w:hanging="360"/>
      </w:pPr>
      <w:rPr>
        <w:rFonts w:ascii="Symbol" w:hAnsi="Symbo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nsid w:val="00000014"/>
    <w:multiLevelType w:val="multilevel"/>
    <w:tmpl w:val="4AB42287"/>
    <w:lvl w:ilvl="0">
      <w:start w:val="1"/>
      <w:numFmt w:val="lowerLetter"/>
      <w:lvlText w:val="%1)"/>
      <w:lvlJc w:val="left"/>
      <w:pPr>
        <w:ind w:left="780" w:hanging="360"/>
      </w:pPr>
    </w:lvl>
    <w:lvl w:ilvl="1">
      <w:start w:val="1"/>
      <w:numFmt w:val="lowerLetter"/>
      <w:lvlText w:val="%2."/>
      <w:lvlJc w:val="left"/>
      <w:pPr>
        <w:ind w:left="1500" w:hanging="360"/>
      </w:pPr>
    </w:lvl>
    <w:lvl w:ilvl="2">
      <w:start w:val="1"/>
      <w:numFmt w:val="lowerRoman"/>
      <w:lvlText w:val="%3."/>
      <w:lvlJc w:val="right"/>
      <w:pPr>
        <w:ind w:left="2220" w:hanging="180"/>
      </w:pPr>
    </w:lvl>
    <w:lvl w:ilvl="3">
      <w:start w:val="1"/>
      <w:numFmt w:val="decimal"/>
      <w:lvlText w:val="%4."/>
      <w:lvlJc w:val="left"/>
      <w:pPr>
        <w:ind w:left="2940" w:hanging="360"/>
      </w:pPr>
    </w:lvl>
    <w:lvl w:ilvl="4">
      <w:start w:val="1"/>
      <w:numFmt w:val="lowerLetter"/>
      <w:lvlText w:val="%5."/>
      <w:lvlJc w:val="left"/>
      <w:pPr>
        <w:ind w:left="3660" w:hanging="360"/>
      </w:pPr>
    </w:lvl>
    <w:lvl w:ilvl="5">
      <w:start w:val="1"/>
      <w:numFmt w:val="lowerRoman"/>
      <w:lvlText w:val="%6."/>
      <w:lvlJc w:val="right"/>
      <w:pPr>
        <w:ind w:left="4380" w:hanging="180"/>
      </w:pPr>
    </w:lvl>
    <w:lvl w:ilvl="6">
      <w:start w:val="1"/>
      <w:numFmt w:val="decimal"/>
      <w:lvlText w:val="%7."/>
      <w:lvlJc w:val="left"/>
      <w:pPr>
        <w:ind w:left="5100" w:hanging="360"/>
      </w:pPr>
    </w:lvl>
    <w:lvl w:ilvl="7">
      <w:start w:val="1"/>
      <w:numFmt w:val="lowerLetter"/>
      <w:lvlText w:val="%8."/>
      <w:lvlJc w:val="left"/>
      <w:pPr>
        <w:ind w:left="5820" w:hanging="360"/>
      </w:pPr>
    </w:lvl>
    <w:lvl w:ilvl="8">
      <w:start w:val="1"/>
      <w:numFmt w:val="lowerRoman"/>
      <w:lvlText w:val="%9."/>
      <w:lvlJc w:val="right"/>
      <w:pPr>
        <w:ind w:left="6540" w:hanging="180"/>
      </w:pPr>
    </w:lvl>
  </w:abstractNum>
  <w:abstractNum w:abstractNumId="21">
    <w:nsid w:val="00000015"/>
    <w:multiLevelType w:val="hybridMultilevel"/>
    <w:tmpl w:val="69788BB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cs="Courier New" w:hAnsi="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cs="Courier New" w:hAnsi="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cs="Courier New" w:hAnsi="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2">
    <w:nsid w:val="00000016"/>
    <w:multiLevelType w:val="hybridMultilevel"/>
    <w:tmpl w:val="D9901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00000017"/>
    <w:multiLevelType w:val="multilevel"/>
    <w:tmpl w:val="40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nsid w:val="00000018"/>
    <w:multiLevelType w:val="multilevel"/>
    <w:tmpl w:val="5B965EC7"/>
    <w:lvl w:ilvl="0">
      <w:start w:val="1"/>
      <w:numFmt w:val="decimal"/>
      <w:lvlText w:val="%1."/>
      <w:lvlJc w:val="left"/>
      <w:pPr>
        <w:ind w:left="720" w:hanging="360"/>
      </w:pPr>
      <w:rPr>
        <w:rFonts w:hint="default"/>
      </w:rPr>
    </w:lvl>
    <w:lvl w:ilvl="1">
      <w:start w:val="1"/>
      <w:numFmt w:val="bullet"/>
      <w:lvlText w:val="o"/>
      <w:lvlJc w:val="left"/>
      <w:pPr>
        <w:ind w:left="1440" w:hanging="360"/>
      </w:pPr>
      <w:rPr>
        <w:rFonts w:ascii="Courier New" w:cs="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cs="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cs="Courier New" w:hAnsi="Courier New" w:hint="default"/>
      </w:rPr>
    </w:lvl>
    <w:lvl w:ilvl="8">
      <w:start w:val="1"/>
      <w:numFmt w:val="bullet"/>
      <w:lvlText w:val=""/>
      <w:lvlJc w:val="left"/>
      <w:pPr>
        <w:ind w:left="6480" w:hanging="360"/>
      </w:pPr>
      <w:rPr>
        <w:rFonts w:ascii="Wingdings" w:hAnsi="Wingdings" w:hint="default"/>
      </w:rPr>
    </w:lvl>
  </w:abstractNum>
  <w:abstractNum w:abstractNumId="25">
    <w:nsid w:val="00000019"/>
    <w:multiLevelType w:val="hybridMultilevel"/>
    <w:tmpl w:val="08C82726"/>
    <w:lvl w:ilvl="0" w:tplc="0409000B">
      <w:start w:val="1"/>
      <w:numFmt w:val="bullet"/>
      <w:lvlText w:val=""/>
      <w:lvlJc w:val="left"/>
      <w:pPr>
        <w:ind w:left="1320" w:hanging="360"/>
      </w:pPr>
      <w:rPr>
        <w:rFonts w:ascii="Wingdings" w:hAnsi="Wingdings" w:hint="default"/>
      </w:rPr>
    </w:lvl>
    <w:lvl w:ilvl="1" w:tplc="04090003" w:tentative="1">
      <w:start w:val="1"/>
      <w:numFmt w:val="bullet"/>
      <w:lvlText w:val="o"/>
      <w:lvlJc w:val="left"/>
      <w:pPr>
        <w:ind w:left="2040" w:hanging="360"/>
      </w:pPr>
      <w:rPr>
        <w:rFonts w:ascii="Courier New" w:cs="Courier New" w:hAnsi="Courier New" w:hint="default"/>
      </w:rPr>
    </w:lvl>
    <w:lvl w:ilvl="2" w:tplc="04090005" w:tentative="1">
      <w:start w:val="1"/>
      <w:numFmt w:val="bullet"/>
      <w:lvlText w:val=""/>
      <w:lvlJc w:val="left"/>
      <w:pPr>
        <w:ind w:left="2760" w:hanging="360"/>
      </w:pPr>
      <w:rPr>
        <w:rFonts w:ascii="Wingdings" w:hAnsi="Wingdings" w:hint="default"/>
      </w:rPr>
    </w:lvl>
    <w:lvl w:ilvl="3" w:tplc="04090001" w:tentative="1">
      <w:start w:val="1"/>
      <w:numFmt w:val="bullet"/>
      <w:lvlText w:val=""/>
      <w:lvlJc w:val="left"/>
      <w:pPr>
        <w:ind w:left="3480" w:hanging="360"/>
      </w:pPr>
      <w:rPr>
        <w:rFonts w:ascii="Symbol" w:hAnsi="Symbol" w:hint="default"/>
      </w:rPr>
    </w:lvl>
    <w:lvl w:ilvl="4" w:tplc="04090003" w:tentative="1">
      <w:start w:val="1"/>
      <w:numFmt w:val="bullet"/>
      <w:lvlText w:val="o"/>
      <w:lvlJc w:val="left"/>
      <w:pPr>
        <w:ind w:left="4200" w:hanging="360"/>
      </w:pPr>
      <w:rPr>
        <w:rFonts w:ascii="Courier New" w:cs="Courier New" w:hAnsi="Courier New" w:hint="default"/>
      </w:rPr>
    </w:lvl>
    <w:lvl w:ilvl="5" w:tplc="04090005" w:tentative="1">
      <w:start w:val="1"/>
      <w:numFmt w:val="bullet"/>
      <w:lvlText w:val=""/>
      <w:lvlJc w:val="left"/>
      <w:pPr>
        <w:ind w:left="4920" w:hanging="360"/>
      </w:pPr>
      <w:rPr>
        <w:rFonts w:ascii="Wingdings" w:hAnsi="Wingdings" w:hint="default"/>
      </w:rPr>
    </w:lvl>
    <w:lvl w:ilvl="6" w:tplc="04090001" w:tentative="1">
      <w:start w:val="1"/>
      <w:numFmt w:val="bullet"/>
      <w:lvlText w:val=""/>
      <w:lvlJc w:val="left"/>
      <w:pPr>
        <w:ind w:left="5640" w:hanging="360"/>
      </w:pPr>
      <w:rPr>
        <w:rFonts w:ascii="Symbol" w:hAnsi="Symbol" w:hint="default"/>
      </w:rPr>
    </w:lvl>
    <w:lvl w:ilvl="7" w:tplc="04090003" w:tentative="1">
      <w:start w:val="1"/>
      <w:numFmt w:val="bullet"/>
      <w:lvlText w:val="o"/>
      <w:lvlJc w:val="left"/>
      <w:pPr>
        <w:ind w:left="6360" w:hanging="360"/>
      </w:pPr>
      <w:rPr>
        <w:rFonts w:ascii="Courier New" w:cs="Courier New" w:hAnsi="Courier New" w:hint="default"/>
      </w:rPr>
    </w:lvl>
    <w:lvl w:ilvl="8" w:tplc="04090005" w:tentative="1">
      <w:start w:val="1"/>
      <w:numFmt w:val="bullet"/>
      <w:lvlText w:val=""/>
      <w:lvlJc w:val="left"/>
      <w:pPr>
        <w:ind w:left="7080" w:hanging="360"/>
      </w:pPr>
      <w:rPr>
        <w:rFonts w:ascii="Wingdings" w:hAnsi="Wingdings" w:hint="default"/>
      </w:rPr>
    </w:lvl>
  </w:abstractNum>
  <w:abstractNum w:abstractNumId="26">
    <w:nsid w:val="0000001A"/>
    <w:multiLevelType w:val="multilevel"/>
    <w:tmpl w:val="180CC752"/>
    <w:lvl w:ilvl="0">
      <w:start w:val="1"/>
      <w:numFmt w:val="bullet"/>
      <w:lvlText w:val=""/>
      <w:lvlJc w:val="left"/>
      <w:pPr>
        <w:ind w:left="720" w:hanging="360"/>
      </w:pPr>
      <w:rPr>
        <w:rFonts w:ascii="Symbol" w:hAnsi="Symbo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nsid w:val="0000001B"/>
    <w:multiLevelType w:val="multilevel"/>
    <w:tmpl w:val="6FC52BF5"/>
    <w:lvl w:ilvl="0">
      <w:start w:val="1"/>
      <w:numFmt w:val="upperRoman"/>
      <w:lvlText w:val="%1."/>
      <w:lvlJc w:val="left"/>
      <w:pPr>
        <w:ind w:left="0" w:firstLine="0"/>
      </w:p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28">
    <w:nsid w:val="0000001C"/>
    <w:multiLevelType w:val="multilevel"/>
    <w:tmpl w:val="7041487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nsid w:val="0000001D"/>
    <w:multiLevelType w:val="multilevel"/>
    <w:tmpl w:val="7AD76C1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nsid w:val="0000001E"/>
    <w:multiLevelType w:val="multilevel"/>
    <w:tmpl w:val="7B2B7C72"/>
    <w:lvl w:ilvl="0">
      <w:start w:val="1"/>
      <w:numFmt w:val="lowerLetter"/>
      <w:lvlText w:val="%1)"/>
      <w:lvlJc w:val="left"/>
      <w:pPr>
        <w:ind w:left="720" w:hanging="360"/>
      </w:pPr>
      <w:rPr>
        <w:rFonts w:hint="default"/>
      </w:rPr>
    </w:lvl>
    <w:lvl w:ilvl="1">
      <w:start w:val="1"/>
      <w:numFmt w:val="bullet"/>
      <w:lvlText w:val="o"/>
      <w:lvlJc w:val="left"/>
      <w:pPr>
        <w:ind w:left="1440" w:hanging="360"/>
      </w:pPr>
      <w:rPr>
        <w:rFonts w:ascii="Courier New" w:cs="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cs="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cs="Courier New" w:hAnsi="Courier New" w:hint="default"/>
      </w:rPr>
    </w:lvl>
    <w:lvl w:ilvl="8">
      <w:start w:val="1"/>
      <w:numFmt w:val="bullet"/>
      <w:lvlText w:val=""/>
      <w:lvlJc w:val="left"/>
      <w:pPr>
        <w:ind w:left="6480" w:hanging="360"/>
      </w:pPr>
      <w:rPr>
        <w:rFonts w:ascii="Wingdings" w:hAnsi="Wingdings" w:hint="default"/>
      </w:rPr>
    </w:lvl>
  </w:abstractNum>
  <w:abstractNum w:abstractNumId="31">
    <w:nsid w:val="0000001F"/>
    <w:multiLevelType w:val="hybridMultilevel"/>
    <w:tmpl w:val="21783D16"/>
    <w:lvl w:ilvl="0" w:tplc="4009000F">
      <w:start w:val="1"/>
      <w:numFmt w:val="decimal"/>
      <w:lvlText w:val="%1."/>
      <w:lvlJc w:val="left"/>
      <w:pPr>
        <w:ind w:left="1320" w:hanging="360"/>
      </w:pPr>
    </w:lvl>
    <w:lvl w:ilvl="1" w:tplc="40090019" w:tentative="1">
      <w:start w:val="1"/>
      <w:numFmt w:val="lowerLetter"/>
      <w:lvlText w:val="%2."/>
      <w:lvlJc w:val="left"/>
      <w:pPr>
        <w:ind w:left="2040" w:hanging="360"/>
      </w:pPr>
    </w:lvl>
    <w:lvl w:ilvl="2" w:tplc="4009001B" w:tentative="1">
      <w:start w:val="1"/>
      <w:numFmt w:val="lowerRoman"/>
      <w:lvlText w:val="%3."/>
      <w:lvlJc w:val="right"/>
      <w:pPr>
        <w:ind w:left="2760" w:hanging="180"/>
      </w:pPr>
    </w:lvl>
    <w:lvl w:ilvl="3" w:tplc="4009000F" w:tentative="1">
      <w:start w:val="1"/>
      <w:numFmt w:val="decimal"/>
      <w:lvlText w:val="%4."/>
      <w:lvlJc w:val="left"/>
      <w:pPr>
        <w:ind w:left="3480" w:hanging="360"/>
      </w:pPr>
    </w:lvl>
    <w:lvl w:ilvl="4" w:tplc="40090019" w:tentative="1">
      <w:start w:val="1"/>
      <w:numFmt w:val="lowerLetter"/>
      <w:lvlText w:val="%5."/>
      <w:lvlJc w:val="left"/>
      <w:pPr>
        <w:ind w:left="4200" w:hanging="360"/>
      </w:pPr>
    </w:lvl>
    <w:lvl w:ilvl="5" w:tplc="4009001B" w:tentative="1">
      <w:start w:val="1"/>
      <w:numFmt w:val="lowerRoman"/>
      <w:lvlText w:val="%6."/>
      <w:lvlJc w:val="right"/>
      <w:pPr>
        <w:ind w:left="4920" w:hanging="180"/>
      </w:pPr>
    </w:lvl>
    <w:lvl w:ilvl="6" w:tplc="4009000F" w:tentative="1">
      <w:start w:val="1"/>
      <w:numFmt w:val="decimal"/>
      <w:lvlText w:val="%7."/>
      <w:lvlJc w:val="left"/>
      <w:pPr>
        <w:ind w:left="5640" w:hanging="360"/>
      </w:pPr>
    </w:lvl>
    <w:lvl w:ilvl="7" w:tplc="40090019" w:tentative="1">
      <w:start w:val="1"/>
      <w:numFmt w:val="lowerLetter"/>
      <w:lvlText w:val="%8."/>
      <w:lvlJc w:val="left"/>
      <w:pPr>
        <w:ind w:left="6360" w:hanging="360"/>
      </w:pPr>
    </w:lvl>
    <w:lvl w:ilvl="8" w:tplc="4009001B" w:tentative="1">
      <w:start w:val="1"/>
      <w:numFmt w:val="lowerRoman"/>
      <w:lvlText w:val="%9."/>
      <w:lvlJc w:val="right"/>
      <w:pPr>
        <w:ind w:left="7080" w:hanging="180"/>
      </w:pPr>
    </w:lvl>
  </w:abstractNum>
  <w:num w:numId="1">
    <w:abstractNumId w:val="3"/>
  </w:num>
  <w:num w:numId="2">
    <w:abstractNumId w:val="16"/>
  </w:num>
  <w:num w:numId="3">
    <w:abstractNumId w:val="14"/>
  </w:num>
  <w:num w:numId="4">
    <w:abstractNumId w:val="9"/>
  </w:num>
  <w:num w:numId="5">
    <w:abstractNumId w:val="31"/>
  </w:num>
  <w:num w:numId="6">
    <w:abstractNumId w:val="23"/>
  </w:num>
  <w:num w:numId="7">
    <w:abstractNumId w:val="1"/>
  </w:num>
  <w:num w:numId="8">
    <w:abstractNumId w:val="11"/>
  </w:num>
  <w:num w:numId="9">
    <w:abstractNumId w:val="7"/>
  </w:num>
  <w:num w:numId="10">
    <w:abstractNumId w:val="0"/>
  </w:num>
  <w:num w:numId="11">
    <w:abstractNumId w:val="17"/>
  </w:num>
  <w:num w:numId="12">
    <w:abstractNumId w:val="21"/>
  </w:num>
  <w:num w:numId="13">
    <w:abstractNumId w:val="8"/>
  </w:num>
  <w:num w:numId="14">
    <w:abstractNumId w:val="4"/>
  </w:num>
  <w:num w:numId="15">
    <w:abstractNumId w:val="13"/>
  </w:num>
  <w:num w:numId="16">
    <w:abstractNumId w:val="15"/>
  </w:num>
  <w:num w:numId="17">
    <w:abstractNumId w:val="28"/>
  </w:num>
  <w:num w:numId="18">
    <w:abstractNumId w:val="10"/>
  </w:num>
  <w:num w:numId="19">
    <w:abstractNumId w:val="20"/>
  </w:num>
  <w:num w:numId="20">
    <w:abstractNumId w:val="29"/>
  </w:num>
  <w:num w:numId="21">
    <w:abstractNumId w:val="12"/>
  </w:num>
  <w:num w:numId="22">
    <w:abstractNumId w:val="18"/>
  </w:num>
  <w:num w:numId="23">
    <w:abstractNumId w:val="5"/>
  </w:num>
  <w:num w:numId="24">
    <w:abstractNumId w:val="25"/>
  </w:num>
  <w:num w:numId="25">
    <w:abstractNumId w:val="22"/>
  </w:num>
  <w:num w:numId="26">
    <w:abstractNumId w:val="27"/>
  </w:num>
  <w:num w:numId="27">
    <w:abstractNumId w:val="30"/>
  </w:num>
  <w:num w:numId="28">
    <w:abstractNumId w:val="2"/>
  </w:num>
  <w:num w:numId="29">
    <w:abstractNumId w:val="24"/>
  </w:num>
  <w:num w:numId="30">
    <w:abstractNumId w:val="26"/>
  </w:num>
  <w:num w:numId="31">
    <w:abstractNumId w:val="6"/>
  </w:num>
  <w:num w:numId="32">
    <w:abstractNumId w:val="19"/>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m:mathPr>
    <m:mathFont m:val="Cambria Math"/>
    <m:brkBin m:val="before"/>
    <m:brkBinSub m:val="--"/>
    <m:smallFrac m:val="1"/>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IN" w:bidi="ar-SA" w:eastAsia="en-US"/>
      </w:rPr>
    </w:rPrDefault>
    <w:pPrDefault>
      <w:pPr>
        <w:spacing w:after="200" w:lineRule="auto" w:line="276"/>
      </w:pPr>
    </w:pPrDefault>
  </w:docDefaults>
  <w:style w:type="paragraph" w:default="1" w:styleId="style0">
    <w:name w:val="Normal"/>
    <w:next w:val="style0"/>
    <w:qFormat/>
    <w:pPr/>
  </w:style>
  <w:style w:type="paragraph" w:styleId="style1">
    <w:name w:val="heading 1"/>
    <w:basedOn w:val="style0"/>
    <w:next w:val="style0"/>
    <w:link w:val="style4097"/>
    <w:qFormat/>
    <w:uiPriority w:val="9"/>
    <w:pPr>
      <w:keepNext/>
      <w:keepLines/>
      <w:spacing w:before="480" w:after="0"/>
      <w:outlineLvl w:val="0"/>
    </w:pPr>
    <w:rPr>
      <w:rFonts w:ascii="Cambria" w:cs="宋体" w:eastAsia="宋体" w:hAnsi="Cambria"/>
      <w:b/>
      <w:bCs/>
      <w:color w:val="365f91"/>
      <w:sz w:val="28"/>
      <w:szCs w:val="28"/>
    </w:rPr>
  </w:style>
  <w:style w:type="paragraph" w:styleId="style8">
    <w:name w:val="heading 8"/>
    <w:basedOn w:val="style0"/>
    <w:next w:val="style0"/>
    <w:link w:val="style4100"/>
    <w:qFormat/>
    <w:uiPriority w:val="9"/>
    <w:pPr>
      <w:keepNext/>
      <w:keepLines/>
      <w:spacing w:before="200" w:after="0" w:lineRule="auto" w:line="240"/>
      <w:ind w:left="6780" w:hanging="360"/>
      <w:outlineLvl w:val="7"/>
    </w:pPr>
    <w:rPr>
      <w:rFonts w:ascii="Cambria" w:cs="Times New Roman" w:eastAsia="Times New Roman" w:hAnsi="Cambria"/>
      <w:color w:val="404040"/>
      <w:sz w:val="20"/>
      <w:szCs w:val="20"/>
      <w:lang w:val="en-GB"/>
    </w:rPr>
  </w:style>
  <w:style w:type="character" w:default="1" w:styleId="style65">
    <w:name w:val="Default Paragraph Font"/>
    <w:next w:val="style65"/>
    <w:uiPriority w:val="1"/>
  </w:style>
  <w:style w:type="table" w:default="1" w:styleId="style105">
    <w:name w:val="Normal Table"/>
    <w:next w:val="style105"/>
    <w:qFormat/>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179">
    <w:name w:val="List Paragraph"/>
    <w:basedOn w:val="style0"/>
    <w:next w:val="style179"/>
    <w:qFormat/>
    <w:uiPriority w:val="34"/>
    <w:pPr>
      <w:ind w:left="720"/>
      <w:contextualSpacing/>
    </w:pPr>
    <w:rPr/>
  </w:style>
  <w:style w:type="table" w:styleId="style154">
    <w:name w:val="Table Grid"/>
    <w:basedOn w:val="style105"/>
    <w:next w:val="style154"/>
    <w:uiPriority w:val="59"/>
    <w:pPr>
      <w:spacing w:after="0" w:lineRule="auto" w:line="240"/>
    </w:pP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cPr>
      <w:tcBorders/>
    </w:tcPr>
  </w:style>
  <w:style w:type="paragraph" w:styleId="style157">
    <w:name w:val="No Spacing"/>
    <w:next w:val="style157"/>
    <w:qFormat/>
    <w:uiPriority w:val="1"/>
    <w:pPr>
      <w:spacing w:after="0" w:lineRule="auto" w:line="240"/>
    </w:pPr>
    <w:rPr>
      <w:rFonts w:ascii="Times New Roman" w:cs="Times New Roman" w:eastAsia="Times New Roman" w:hAnsi="Times New Roman"/>
      <w:sz w:val="24"/>
      <w:szCs w:val="24"/>
      <w:lang w:val="en-GB"/>
    </w:rPr>
  </w:style>
  <w:style w:type="character" w:customStyle="1" w:styleId="style4097">
    <w:name w:val="Heading 1 Char_bf276ad2-0921-4937-88dd-3899d02824a1"/>
    <w:basedOn w:val="style65"/>
    <w:next w:val="style4097"/>
    <w:link w:val="style1"/>
    <w:uiPriority w:val="9"/>
    <w:rPr>
      <w:rFonts w:ascii="Cambria" w:cs="宋体" w:eastAsia="宋体" w:hAnsi="Cambria"/>
      <w:b/>
      <w:bCs/>
      <w:color w:val="365f91"/>
      <w:sz w:val="28"/>
      <w:szCs w:val="28"/>
    </w:rPr>
  </w:style>
  <w:style w:type="paragraph" w:styleId="style31">
    <w:name w:val="header"/>
    <w:basedOn w:val="style0"/>
    <w:next w:val="style31"/>
    <w:link w:val="style4098"/>
    <w:uiPriority w:val="99"/>
    <w:pPr>
      <w:tabs>
        <w:tab w:val="center" w:leader="none" w:pos="4680"/>
        <w:tab w:val="right" w:leader="none" w:pos="9360"/>
      </w:tabs>
      <w:spacing w:after="0" w:lineRule="auto" w:line="240"/>
    </w:pPr>
    <w:rPr/>
  </w:style>
  <w:style w:type="character" w:customStyle="1" w:styleId="style4098">
    <w:name w:val="Header Char_3667eade-b3de-4d09-a8ba-3273a1dbd9de"/>
    <w:basedOn w:val="style65"/>
    <w:next w:val="style4098"/>
    <w:link w:val="style31"/>
    <w:uiPriority w:val="99"/>
  </w:style>
  <w:style w:type="paragraph" w:styleId="style32">
    <w:name w:val="footer"/>
    <w:basedOn w:val="style0"/>
    <w:next w:val="style32"/>
    <w:link w:val="style4099"/>
    <w:uiPriority w:val="99"/>
    <w:pPr>
      <w:tabs>
        <w:tab w:val="center" w:leader="none" w:pos="4680"/>
        <w:tab w:val="right" w:leader="none" w:pos="9360"/>
      </w:tabs>
      <w:spacing w:after="0" w:lineRule="auto" w:line="240"/>
    </w:pPr>
    <w:rPr/>
  </w:style>
  <w:style w:type="character" w:customStyle="1" w:styleId="style4099">
    <w:name w:val="Footer Char_29dcfe45-27b3-47c1-90d0-4e43cd258785"/>
    <w:basedOn w:val="style65"/>
    <w:next w:val="style4099"/>
    <w:link w:val="style32"/>
    <w:uiPriority w:val="99"/>
  </w:style>
  <w:style w:type="character" w:customStyle="1" w:styleId="style4100">
    <w:name w:val="Heading 8 Char_aeb640d5-4962-483a-a090-ced3c1251832"/>
    <w:basedOn w:val="style65"/>
    <w:next w:val="style4100"/>
    <w:link w:val="style8"/>
    <w:uiPriority w:val="9"/>
    <w:rPr>
      <w:rFonts w:ascii="Cambria" w:cs="Times New Roman" w:eastAsia="Times New Roman" w:hAnsi="Cambria"/>
      <w:color w:val="404040"/>
      <w:sz w:val="20"/>
      <w:szCs w:val="20"/>
      <w:lang w:val="en-GB"/>
    </w:rPr>
  </w:style>
  <w:style w:type="paragraph" w:styleId="style94">
    <w:name w:val="Normal (Web)"/>
    <w:basedOn w:val="style0"/>
    <w:next w:val="style94"/>
    <w:uiPriority w:val="99"/>
    <w:pPr>
      <w:spacing w:before="100" w:beforeAutospacing="true" w:after="100" w:afterAutospacing="true" w:lineRule="auto" w:line="240"/>
    </w:pPr>
    <w:rPr>
      <w:rFonts w:ascii="Times New Roman" w:cs="Times New Roman" w:eastAsia="Times New Roman" w:hAnsi="Times New Roman"/>
      <w:sz w:val="24"/>
      <w:szCs w:val="24"/>
      <w:lang w:val="en-US"/>
    </w:rPr>
  </w:style>
  <w:style w:type="character" w:customStyle="1" w:styleId="style4101">
    <w:name w:val="abstract-section-header"/>
    <w:basedOn w:val="style65"/>
    <w:next w:val="style4101"/>
  </w:style>
  <w:style w:type="character" w:styleId="style88">
    <w:name w:val="Emphasis"/>
    <w:basedOn w:val="style65"/>
    <w:next w:val="style88"/>
    <w:qFormat/>
    <w:uiPriority w:val="20"/>
    <w:rPr>
      <w:i/>
      <w:iCs/>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2067</Words>
  <Pages>7</Pages>
  <Characters>11304</Characters>
  <Application>WPS Office</Application>
  <DocSecurity>0</DocSecurity>
  <Paragraphs>105</Paragraphs>
  <ScaleCrop>false</ScaleCrop>
  <LinksUpToDate>false</LinksUpToDate>
  <CharactersWithSpaces>13365</CharactersWithSpaces>
  <SharedDoc>false</SharedDoc>
  <HyperlinksChanged>false</HyperlinksChanged>
  <AppVersion>12.000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2020-03-06T15:13:05Z</dcterms:created>
  <dc:creator>Lenovo</dc:creator>
  <lastModifiedBy>Redmi Note 7 Pro</lastModifiedBy>
  <dcterms:modified xsi:type="dcterms:W3CDTF">2020-03-06T15:13:05Z</dcterms:modified>
  <revision>2</revision>
</coreProperties>
</file>

<file path=docProps/custom.xml><?xml version="1.0" encoding="utf-8"?>
<Properties xmlns="http://schemas.openxmlformats.org/officeDocument/2006/custom-properties" xmlns:vt="http://schemas.openxmlformats.org/officeDocument/2006/docPropsVTypes"/>
</file>