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3E67" w:rsidRPr="00783B27" w:rsidRDefault="002C0F2B" w:rsidP="00783B27">
      <w:pPr>
        <w:bidi/>
        <w:jc w:val="both"/>
        <w:rPr>
          <w:sz w:val="22"/>
          <w:szCs w:val="22"/>
          <w:lang w:val="en-GB"/>
        </w:rPr>
      </w:pPr>
      <w:r>
        <w:rPr>
          <w:sz w:val="22"/>
          <w:szCs w:val="22"/>
          <w:lang w:val="en-GB"/>
        </w:rPr>
        <w:t xml:space="preserve">                                </w:t>
      </w:r>
      <w:r w:rsidR="002B3E67">
        <w:rPr>
          <w:b/>
          <w:noProof/>
          <w:sz w:val="22"/>
          <w:szCs w:val="22"/>
          <w:lang w:val="en-US" w:eastAsia="en-US"/>
        </w:rPr>
        <w:drawing>
          <wp:inline distT="0" distB="0" distL="0" distR="0">
            <wp:extent cx="1362075" cy="1362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hzad phot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2075" cy="1362075"/>
                    </a:xfrm>
                    <a:prstGeom prst="rect">
                      <a:avLst/>
                    </a:prstGeom>
                  </pic:spPr>
                </pic:pic>
              </a:graphicData>
            </a:graphic>
          </wp:inline>
        </w:drawing>
      </w:r>
      <w:r w:rsidR="003B466F">
        <w:rPr>
          <w:b/>
          <w:sz w:val="22"/>
          <w:szCs w:val="22"/>
          <w:lang w:val="en-GB"/>
        </w:rPr>
        <w:tab/>
      </w:r>
      <w:r w:rsidR="003B466F">
        <w:rPr>
          <w:b/>
          <w:sz w:val="22"/>
          <w:szCs w:val="22"/>
          <w:lang w:val="en-GB"/>
        </w:rPr>
        <w:tab/>
      </w:r>
      <w:r w:rsidR="003B466F">
        <w:rPr>
          <w:b/>
          <w:sz w:val="22"/>
          <w:szCs w:val="22"/>
          <w:lang w:val="en-GB"/>
        </w:rPr>
        <w:tab/>
      </w:r>
      <w:r w:rsidR="003B466F">
        <w:rPr>
          <w:b/>
          <w:sz w:val="22"/>
          <w:szCs w:val="22"/>
          <w:lang w:val="en-GB"/>
        </w:rPr>
        <w:tab/>
      </w:r>
      <w:r w:rsidR="003B466F">
        <w:rPr>
          <w:b/>
          <w:sz w:val="22"/>
          <w:szCs w:val="22"/>
          <w:lang w:val="en-GB"/>
        </w:rPr>
        <w:tab/>
      </w:r>
      <w:r w:rsidR="002D2E5A">
        <w:rPr>
          <w:sz w:val="22"/>
          <w:szCs w:val="22"/>
          <w:lang w:val="en-GB"/>
        </w:rPr>
        <w:t xml:space="preserve">                                     </w:t>
      </w:r>
    </w:p>
    <w:p w:rsidR="00783B27" w:rsidRPr="001F693A" w:rsidRDefault="00783B27" w:rsidP="00783B27">
      <w:pPr>
        <w:autoSpaceDE w:val="0"/>
        <w:autoSpaceDN w:val="0"/>
        <w:adjustRightInd w:val="0"/>
        <w:jc w:val="center"/>
        <w:rPr>
          <w:rFonts w:asciiTheme="majorBidi" w:hAnsiTheme="majorBidi" w:cstheme="majorBidi"/>
          <w:b/>
          <w:bCs/>
          <w:color w:val="000000"/>
          <w:sz w:val="32"/>
          <w:szCs w:val="32"/>
          <w:lang w:val="en-US" w:eastAsia="en-US"/>
        </w:rPr>
      </w:pPr>
      <w:r w:rsidRPr="001F693A">
        <w:rPr>
          <w:rFonts w:asciiTheme="majorBidi" w:hAnsiTheme="majorBidi" w:cstheme="majorBidi"/>
          <w:b/>
          <w:bCs/>
          <w:color w:val="000000"/>
          <w:sz w:val="32"/>
          <w:szCs w:val="32"/>
          <w:lang w:val="en-US" w:eastAsia="en-US"/>
        </w:rPr>
        <w:t xml:space="preserve">The Effect of </w:t>
      </w:r>
      <w:proofErr w:type="spellStart"/>
      <w:r w:rsidRPr="001F693A">
        <w:rPr>
          <w:rFonts w:asciiTheme="majorBidi" w:hAnsiTheme="majorBidi" w:cstheme="majorBidi"/>
          <w:b/>
          <w:bCs/>
          <w:color w:val="000000"/>
          <w:sz w:val="32"/>
          <w:szCs w:val="32"/>
          <w:lang w:val="en-US" w:eastAsia="en-US"/>
        </w:rPr>
        <w:t>Pregabalin</w:t>
      </w:r>
      <w:proofErr w:type="spellEnd"/>
      <w:r w:rsidRPr="001F693A">
        <w:rPr>
          <w:rFonts w:asciiTheme="majorBidi" w:hAnsiTheme="majorBidi" w:cstheme="majorBidi"/>
          <w:b/>
          <w:bCs/>
          <w:color w:val="000000"/>
          <w:sz w:val="32"/>
          <w:szCs w:val="32"/>
          <w:lang w:val="en-US" w:eastAsia="en-US"/>
        </w:rPr>
        <w:t xml:space="preserve"> on the Prevention of Succinylcholine-Induced</w:t>
      </w:r>
    </w:p>
    <w:p w:rsidR="00783B27" w:rsidRDefault="00783B27" w:rsidP="00783B27">
      <w:pPr>
        <w:autoSpaceDE w:val="0"/>
        <w:autoSpaceDN w:val="0"/>
        <w:adjustRightInd w:val="0"/>
        <w:jc w:val="center"/>
        <w:rPr>
          <w:rFonts w:asciiTheme="majorBidi" w:hAnsiTheme="majorBidi" w:cstheme="majorBidi"/>
          <w:color w:val="000000"/>
          <w:sz w:val="32"/>
          <w:szCs w:val="32"/>
          <w:lang w:val="en-US" w:eastAsia="en-US"/>
        </w:rPr>
      </w:pPr>
      <w:r w:rsidRPr="001F693A">
        <w:rPr>
          <w:rFonts w:asciiTheme="majorBidi" w:hAnsiTheme="majorBidi" w:cstheme="majorBidi"/>
          <w:b/>
          <w:bCs/>
          <w:color w:val="000000"/>
          <w:sz w:val="32"/>
          <w:szCs w:val="32"/>
          <w:lang w:val="en-US" w:eastAsia="en-US"/>
        </w:rPr>
        <w:t>Fasciculation</w:t>
      </w:r>
      <w:r w:rsidRPr="000547A3">
        <w:rPr>
          <w:rFonts w:asciiTheme="majorBidi" w:hAnsiTheme="majorBidi" w:cstheme="majorBidi"/>
          <w:color w:val="000000"/>
          <w:sz w:val="32"/>
          <w:szCs w:val="32"/>
          <w:lang w:val="en-US" w:eastAsia="en-US"/>
        </w:rPr>
        <w:t xml:space="preserve"> </w:t>
      </w:r>
    </w:p>
    <w:p w:rsidR="002B3E67" w:rsidRPr="00AE66B9" w:rsidRDefault="002B3E67" w:rsidP="00783B27">
      <w:pPr>
        <w:shd w:val="clear" w:color="auto" w:fill="FFFFFF"/>
        <w:autoSpaceDE w:val="0"/>
        <w:autoSpaceDN w:val="0"/>
        <w:adjustRightInd w:val="0"/>
        <w:rPr>
          <w:b/>
          <w:bCs/>
          <w:sz w:val="36"/>
          <w:szCs w:val="36"/>
        </w:rPr>
      </w:pPr>
    </w:p>
    <w:p w:rsidR="00AB2B06" w:rsidRDefault="00AB2B06" w:rsidP="00AB2B06">
      <w:pPr>
        <w:jc w:val="center"/>
        <w:rPr>
          <w:sz w:val="22"/>
          <w:szCs w:val="22"/>
          <w:lang w:val="pl-PL"/>
        </w:rPr>
      </w:pPr>
      <w:r>
        <w:rPr>
          <w:rFonts w:eastAsia="MS PGothic" w:hAnsi="Arial"/>
          <w:b/>
          <w:color w:val="000000"/>
        </w:rPr>
        <w:t>Authors</w:t>
      </w:r>
      <w:r w:rsidRPr="008C173D">
        <w:rPr>
          <w:rFonts w:eastAsia="MS PGothic" w:hAnsi="Arial"/>
          <w:b/>
          <w:color w:val="000000"/>
        </w:rPr>
        <w:t>:</w:t>
      </w:r>
      <w:r>
        <w:rPr>
          <w:rFonts w:eastAsia="MS PGothic" w:hAnsi="Arial"/>
          <w:b/>
          <w:color w:val="000000"/>
        </w:rPr>
        <w:t xml:space="preserve"> </w:t>
      </w:r>
      <w:r w:rsidRPr="0034326D">
        <w:rPr>
          <w:b/>
          <w:bCs/>
          <w:sz w:val="22"/>
          <w:szCs w:val="22"/>
          <w:u w:val="single"/>
          <w:lang w:val="pl-PL"/>
        </w:rPr>
        <w:t>Behzad Kazemi Haki</w:t>
      </w:r>
      <w:r w:rsidRPr="0034326D">
        <w:rPr>
          <w:b/>
          <w:bCs/>
          <w:u w:val="single"/>
          <w:vertAlign w:val="superscript"/>
          <w:lang w:val="pl-PL"/>
        </w:rPr>
        <w:t>*</w:t>
      </w:r>
      <w:r>
        <w:rPr>
          <w:b/>
          <w:bCs/>
          <w:vertAlign w:val="superscript"/>
          <w:lang w:val="pl-PL"/>
        </w:rPr>
        <w:t>1</w:t>
      </w:r>
      <w:r>
        <w:rPr>
          <w:b/>
          <w:bCs/>
          <w:lang w:val="pl-PL"/>
        </w:rPr>
        <w:t xml:space="preserve">, </w:t>
      </w:r>
      <w:r w:rsidRPr="00AB2B06">
        <w:rPr>
          <w:lang w:val="pl-PL"/>
        </w:rPr>
        <w:t>Parang</w:t>
      </w:r>
      <w:r w:rsidRPr="0034326D">
        <w:rPr>
          <w:lang w:val="pl-PL"/>
        </w:rPr>
        <w:t xml:space="preserve"> Golabi</w:t>
      </w:r>
      <w:r>
        <w:rPr>
          <w:vertAlign w:val="superscript"/>
          <w:lang w:val="pl-PL"/>
        </w:rPr>
        <w:t>2</w:t>
      </w:r>
      <w:r w:rsidRPr="00073C08">
        <w:rPr>
          <w:lang w:val="pl-PL"/>
        </w:rPr>
        <w:t>,</w:t>
      </w:r>
      <w:r w:rsidRPr="001F693A">
        <w:rPr>
          <w:rFonts w:asciiTheme="majorBidi" w:hAnsiTheme="majorBidi" w:cstheme="majorBidi"/>
          <w:color w:val="000000"/>
          <w:sz w:val="22"/>
          <w:szCs w:val="22"/>
          <w:lang w:val="en-US" w:eastAsia="en-US"/>
        </w:rPr>
        <w:t xml:space="preserve"> </w:t>
      </w:r>
      <w:r w:rsidRPr="00032C4E">
        <w:rPr>
          <w:rFonts w:asciiTheme="majorBidi" w:hAnsiTheme="majorBidi" w:cstheme="majorBidi"/>
          <w:color w:val="000000"/>
          <w:sz w:val="22"/>
          <w:szCs w:val="22"/>
          <w:lang w:val="en-US" w:eastAsia="en-US"/>
        </w:rPr>
        <w:t>Shahryar Sane</w:t>
      </w:r>
      <w:r>
        <w:rPr>
          <w:rFonts w:asciiTheme="majorBidi" w:hAnsiTheme="majorBidi" w:cstheme="majorBidi"/>
          <w:color w:val="000000"/>
          <w:sz w:val="22"/>
          <w:szCs w:val="22"/>
          <w:vertAlign w:val="superscript"/>
          <w:lang w:val="en-US" w:eastAsia="en-US"/>
        </w:rPr>
        <w:t>3</w:t>
      </w:r>
      <w:r w:rsidRPr="00073C08">
        <w:rPr>
          <w:lang w:val="pl-PL"/>
        </w:rPr>
        <w:t xml:space="preserve"> </w:t>
      </w:r>
    </w:p>
    <w:p w:rsidR="00AB2B06" w:rsidRDefault="00AB2B06" w:rsidP="00AB2B06">
      <w:pPr>
        <w:rPr>
          <w:sz w:val="22"/>
          <w:szCs w:val="22"/>
          <w:lang w:val="pl-PL"/>
        </w:rPr>
      </w:pPr>
    </w:p>
    <w:p w:rsidR="00AB2B06" w:rsidRDefault="00AB2B06" w:rsidP="00AB2B06">
      <w:pPr>
        <w:pStyle w:val="ListParagraph"/>
        <w:numPr>
          <w:ilvl w:val="0"/>
          <w:numId w:val="4"/>
        </w:numPr>
        <w:rPr>
          <w:sz w:val="18"/>
          <w:szCs w:val="18"/>
        </w:rPr>
      </w:pPr>
      <w:r w:rsidRPr="001F693A">
        <w:rPr>
          <w:sz w:val="18"/>
          <w:szCs w:val="18"/>
          <w:lang w:bidi="fa-IR"/>
        </w:rPr>
        <w:t xml:space="preserve">Department of Anesthesiology, Omid charity hospital, Urmia University of Medical Science, Urmia, Iran. </w:t>
      </w:r>
    </w:p>
    <w:p w:rsidR="00AB2B06" w:rsidRPr="001F693A" w:rsidRDefault="00AB2B06" w:rsidP="00AB2B06">
      <w:pPr>
        <w:pStyle w:val="ListParagraph"/>
        <w:numPr>
          <w:ilvl w:val="0"/>
          <w:numId w:val="4"/>
        </w:numPr>
        <w:rPr>
          <w:sz w:val="18"/>
          <w:szCs w:val="18"/>
        </w:rPr>
      </w:pPr>
      <w:r w:rsidRPr="001F693A">
        <w:rPr>
          <w:sz w:val="18"/>
          <w:szCs w:val="18"/>
          <w:lang w:bidi="fa-IR"/>
        </w:rPr>
        <w:t>Department of Anesthesiology, Mahabad Imam Khomeini hospital, Urmia University of Medical Science, Mahabad, Iran</w:t>
      </w:r>
    </w:p>
    <w:p w:rsidR="00AB2B06" w:rsidRDefault="00AB2B06" w:rsidP="00AB2B06">
      <w:pPr>
        <w:pStyle w:val="ListParagraph"/>
        <w:numPr>
          <w:ilvl w:val="0"/>
          <w:numId w:val="4"/>
        </w:numPr>
        <w:rPr>
          <w:sz w:val="18"/>
          <w:szCs w:val="18"/>
        </w:rPr>
      </w:pPr>
      <w:r w:rsidRPr="00032C4E">
        <w:rPr>
          <w:rFonts w:ascii="AdvOTb92eb7df.I" w:hAnsi="AdvOTb92eb7df.I" w:cs="AdvOTb92eb7df.I"/>
          <w:color w:val="000000"/>
          <w:sz w:val="20"/>
          <w:szCs w:val="20"/>
          <w:lang w:val="en-US" w:eastAsia="en-US"/>
        </w:rPr>
        <w:t>Department of Anesthesiology, Urmia Imam Khomeini Hospital, Urmia University of Medical Science, Urmia, Iran</w:t>
      </w:r>
    </w:p>
    <w:p w:rsidR="002B3E67" w:rsidRPr="00002DC9" w:rsidRDefault="00002DC9" w:rsidP="00002DC9">
      <w:pPr>
        <w:rPr>
          <w:rFonts w:eastAsia="Batang"/>
          <w:b/>
          <w:bCs/>
          <w:sz w:val="28"/>
          <w:szCs w:val="28"/>
        </w:rPr>
      </w:pPr>
      <w:r w:rsidRPr="00002DC9">
        <w:rPr>
          <w:rFonts w:eastAsia="Batang"/>
          <w:b/>
          <w:bCs/>
          <w:sz w:val="28"/>
          <w:szCs w:val="28"/>
        </w:rPr>
        <w:t>Abstract</w:t>
      </w:r>
    </w:p>
    <w:p w:rsidR="00783B27" w:rsidRPr="00B527E3" w:rsidRDefault="00783B27" w:rsidP="00783B27">
      <w:pPr>
        <w:autoSpaceDE w:val="0"/>
        <w:autoSpaceDN w:val="0"/>
        <w:adjustRightInd w:val="0"/>
        <w:jc w:val="both"/>
        <w:rPr>
          <w:rFonts w:asciiTheme="majorBidi" w:hAnsiTheme="majorBidi" w:cstheme="majorBidi"/>
          <w:lang w:val="en-US" w:eastAsia="en-US"/>
        </w:rPr>
      </w:pPr>
      <w:r w:rsidRPr="001F693A">
        <w:rPr>
          <w:rFonts w:asciiTheme="majorBidi" w:hAnsiTheme="majorBidi" w:cstheme="majorBidi"/>
          <w:lang w:val="en-US" w:eastAsia="en-US"/>
        </w:rPr>
        <w:t>Succinylcholine is the only depolarizing muscle relaxant and possesses unique properties with quick onset and short duration of action, which is why it has been suggested as the first choice in rapid-onset anesthesia with adequate muscle relaxation</w:t>
      </w:r>
      <w:r>
        <w:rPr>
          <w:rFonts w:asciiTheme="majorBidi" w:hAnsiTheme="majorBidi" w:cstheme="majorBidi"/>
          <w:lang w:bidi="fa-IR"/>
        </w:rPr>
        <w:t xml:space="preserve">. </w:t>
      </w:r>
      <w:r w:rsidRPr="00893CE1">
        <w:rPr>
          <w:rFonts w:asciiTheme="majorBidi" w:hAnsiTheme="majorBidi" w:cstheme="majorBidi"/>
          <w:lang w:bidi="fa-IR"/>
        </w:rPr>
        <w:t>This study evaluates the effect of pregabalin on fasciculation after using succinylcholine.</w:t>
      </w:r>
      <w:r>
        <w:rPr>
          <w:rFonts w:asciiTheme="majorBidi" w:hAnsiTheme="majorBidi" w:cstheme="majorBidi"/>
          <w:lang w:bidi="fa-IR"/>
        </w:rPr>
        <w:t xml:space="preserve"> </w:t>
      </w:r>
      <w:r w:rsidRPr="00893CE1">
        <w:rPr>
          <w:rFonts w:asciiTheme="majorBidi" w:hAnsiTheme="majorBidi" w:cstheme="majorBidi"/>
          <w:lang w:bidi="fa-IR"/>
        </w:rPr>
        <w:t>this</w:t>
      </w:r>
      <w:r>
        <w:rPr>
          <w:rFonts w:asciiTheme="majorBidi" w:hAnsiTheme="majorBidi" w:cstheme="majorBidi"/>
          <w:lang w:bidi="fa-IR"/>
        </w:rPr>
        <w:t xml:space="preserve"> </w:t>
      </w:r>
      <w:r w:rsidRPr="00893CE1">
        <w:rPr>
          <w:rFonts w:asciiTheme="majorBidi" w:hAnsiTheme="majorBidi" w:cstheme="majorBidi"/>
          <w:lang w:bidi="fa-IR"/>
        </w:rPr>
        <w:t>randomized double-blind prospective conducted among 100 patients aged 20 to 60 years old</w:t>
      </w:r>
      <w:r>
        <w:rPr>
          <w:rFonts w:asciiTheme="majorBidi" w:hAnsiTheme="majorBidi" w:cstheme="majorBidi"/>
          <w:lang w:bidi="fa-IR"/>
        </w:rPr>
        <w:t xml:space="preserve">. </w:t>
      </w:r>
      <w:r w:rsidRPr="00893CE1">
        <w:rPr>
          <w:rFonts w:asciiTheme="majorBidi" w:hAnsiTheme="majorBidi" w:cstheme="majorBidi"/>
          <w:lang w:bidi="fa-IR"/>
        </w:rPr>
        <w:t>Pregabalin (300 mg) and placebo (in capsule form) were placed in similar containers</w:t>
      </w:r>
      <w:r>
        <w:rPr>
          <w:rFonts w:asciiTheme="majorBidi" w:hAnsiTheme="majorBidi" w:cstheme="majorBidi"/>
          <w:lang w:bidi="fa-IR"/>
        </w:rPr>
        <w:t xml:space="preserve">. </w:t>
      </w:r>
      <w:r>
        <w:t xml:space="preserve">The results were analyzed by spss 23 and </w:t>
      </w:r>
      <w:r w:rsidRPr="001F7FD9">
        <w:rPr>
          <w:rFonts w:asciiTheme="majorBidi" w:hAnsiTheme="majorBidi" w:cstheme="majorBidi"/>
          <w:lang w:bidi="fa-IR"/>
        </w:rPr>
        <w:t xml:space="preserve">Statistical analysis consisted </w:t>
      </w:r>
      <w:r w:rsidRPr="0081397F">
        <w:rPr>
          <w:rFonts w:asciiTheme="majorBidi" w:hAnsiTheme="majorBidi" w:cstheme="majorBidi"/>
          <w:lang w:bidi="fa-IR"/>
        </w:rPr>
        <w:t xml:space="preserve">of chi-square, T-test and χ2 tests </w:t>
      </w:r>
      <w:r w:rsidRPr="0081397F">
        <w:rPr>
          <w:rFonts w:asciiTheme="majorBidi" w:hAnsiTheme="majorBidi" w:cstheme="majorBidi"/>
        </w:rPr>
        <w:t>and p value less than 0.05 was considered significant.</w:t>
      </w:r>
      <w:r w:rsidRPr="00A30C68">
        <w:rPr>
          <w:rFonts w:asciiTheme="majorBidi" w:hAnsiTheme="majorBidi" w:cstheme="majorBidi"/>
          <w:lang w:bidi="fa-IR"/>
        </w:rPr>
        <w:t xml:space="preserve"> </w:t>
      </w:r>
      <w:r w:rsidRPr="00D27C2B">
        <w:rPr>
          <w:rFonts w:asciiTheme="majorBidi" w:hAnsiTheme="majorBidi" w:cstheme="majorBidi"/>
          <w:lang w:bidi="fa-IR"/>
        </w:rPr>
        <w:t xml:space="preserve">According to </w:t>
      </w:r>
      <w:r w:rsidRPr="00E93EA8">
        <w:rPr>
          <w:rFonts w:asciiTheme="majorBidi" w:hAnsiTheme="majorBidi" w:cstheme="majorBidi"/>
          <w:lang w:bidi="fa-IR"/>
        </w:rPr>
        <w:t>the</w:t>
      </w:r>
      <w:r w:rsidRPr="00D27C2B">
        <w:rPr>
          <w:rFonts w:asciiTheme="majorBidi" w:hAnsiTheme="majorBidi" w:cstheme="majorBidi"/>
          <w:lang w:bidi="fa-IR"/>
        </w:rPr>
        <w:t xml:space="preserve"> Chi-square test, there is a significant difference between the two groups in the frequency of fasciculation (P = 0.003).</w:t>
      </w:r>
      <w:r w:rsidRPr="00A30C68">
        <w:rPr>
          <w:rFonts w:asciiTheme="majorBidi" w:hAnsiTheme="majorBidi" w:cstheme="majorBidi"/>
          <w:lang w:bidi="fa-IR"/>
        </w:rPr>
        <w:t xml:space="preserve"> </w:t>
      </w:r>
      <w:r w:rsidRPr="00483EBE">
        <w:rPr>
          <w:rFonts w:asciiTheme="majorBidi" w:hAnsiTheme="majorBidi" w:cstheme="majorBidi"/>
          <w:lang w:bidi="fa-IR"/>
        </w:rPr>
        <w:t xml:space="preserve">Mean fasciculation severity in the pregabalin group was </w:t>
      </w:r>
      <w:r>
        <w:rPr>
          <w:rFonts w:asciiTheme="majorBidi" w:hAnsiTheme="majorBidi" w:cstheme="majorBidi"/>
          <w:lang w:bidi="fa-IR"/>
        </w:rPr>
        <w:t>lower than</w:t>
      </w:r>
      <w:r w:rsidRPr="00483EBE">
        <w:rPr>
          <w:rFonts w:asciiTheme="majorBidi" w:hAnsiTheme="majorBidi" w:cstheme="majorBidi"/>
          <w:lang w:bidi="fa-IR"/>
        </w:rPr>
        <w:t xml:space="preserve"> placebo group. According to T-test, there was a significant difference in the mean fasciculation severity between the two groups (P = 0.002). </w:t>
      </w:r>
      <w:r w:rsidRPr="00E93EA8">
        <w:rPr>
          <w:rFonts w:asciiTheme="majorBidi" w:hAnsiTheme="majorBidi" w:cstheme="majorBidi"/>
          <w:lang w:bidi="fa-IR"/>
        </w:rPr>
        <w:t xml:space="preserve">This study showed that 300 mg pregabalin was effective in reducing postoperative fasciculation in patients treated with succinylcholine. </w:t>
      </w:r>
    </w:p>
    <w:p w:rsidR="00783B27" w:rsidRDefault="00783B27" w:rsidP="00783B27">
      <w:pPr>
        <w:shd w:val="clear" w:color="auto" w:fill="FFFFFF"/>
        <w:autoSpaceDE w:val="0"/>
        <w:autoSpaceDN w:val="0"/>
        <w:adjustRightInd w:val="0"/>
        <w:spacing w:line="360" w:lineRule="auto"/>
        <w:rPr>
          <w:rFonts w:cs="B Titr"/>
        </w:rPr>
      </w:pPr>
      <w:r w:rsidRPr="0048251C">
        <w:rPr>
          <w:rFonts w:asciiTheme="majorBidi" w:hAnsiTheme="majorBidi" w:cstheme="majorBidi"/>
          <w:b/>
          <w:bCs/>
          <w:lang w:bidi="fa-IR"/>
        </w:rPr>
        <w:t>Key words</w:t>
      </w:r>
      <w:r>
        <w:rPr>
          <w:rFonts w:asciiTheme="majorBidi" w:hAnsiTheme="majorBidi" w:cstheme="majorBidi"/>
          <w:lang w:bidi="fa-IR"/>
        </w:rPr>
        <w:t xml:space="preserve">: </w:t>
      </w:r>
      <w:r w:rsidRPr="0048251C">
        <w:rPr>
          <w:rFonts w:cs="B Titr"/>
        </w:rPr>
        <w:t>pregabalin, succinylcholine, fasciculation, myalgia</w:t>
      </w:r>
    </w:p>
    <w:p w:rsidR="00783B27" w:rsidRPr="002B3E67" w:rsidRDefault="00783B27" w:rsidP="002B3E67">
      <w:pPr>
        <w:shd w:val="clear" w:color="auto" w:fill="FFFFFF"/>
        <w:autoSpaceDE w:val="0"/>
        <w:autoSpaceDN w:val="0"/>
        <w:adjustRightInd w:val="0"/>
        <w:spacing w:after="240" w:line="276" w:lineRule="auto"/>
        <w:jc w:val="both"/>
      </w:pPr>
    </w:p>
    <w:p w:rsidR="00272994" w:rsidRDefault="00272994" w:rsidP="00272994">
      <w:pPr>
        <w:jc w:val="both"/>
        <w:rPr>
          <w:b/>
        </w:rPr>
      </w:pPr>
      <w:r>
        <w:rPr>
          <w:b/>
        </w:rPr>
        <w:t>Biography</w:t>
      </w:r>
    </w:p>
    <w:p w:rsidR="00D2799E" w:rsidRDefault="00D2799E" w:rsidP="00D2799E">
      <w:pPr>
        <w:autoSpaceDE w:val="0"/>
        <w:autoSpaceDN w:val="0"/>
        <w:adjustRightInd w:val="0"/>
        <w:jc w:val="both"/>
      </w:pPr>
      <w:r>
        <w:rPr>
          <w:rFonts w:eastAsia="MS PGothic" w:hAnsi="Arial"/>
          <w:color w:val="000000"/>
        </w:rPr>
        <w:t xml:space="preserve">Behzad Kazemi Haki </w:t>
      </w:r>
      <w:r>
        <w:t xml:space="preserve">has graduated of anesthesia from Tabriz University of Medical Sciences in IRAN. He is researcher and inventor in medical sciences he </w:t>
      </w:r>
      <w:r w:rsidRPr="00FC2509">
        <w:t>won the title of Outstanding Researcher at the Ministry of Health of Iran</w:t>
      </w:r>
      <w:r>
        <w:t>,</w:t>
      </w:r>
      <w:r w:rsidRPr="00000994">
        <w:t xml:space="preserve"> and a member of the National Elite Foundation</w:t>
      </w:r>
      <w:r>
        <w:t xml:space="preserve">. He has published more than 20 Research Publications in </w:t>
      </w:r>
      <w:r w:rsidRPr="00000994">
        <w:t xml:space="preserve">prestigious journals </w:t>
      </w:r>
      <w:r>
        <w:t xml:space="preserve">and more than 30 article in congress also </w:t>
      </w:r>
      <w:r w:rsidRPr="00000994">
        <w:t>He is jury member of scientific journals and national congresses</w:t>
      </w:r>
      <w:r>
        <w:t xml:space="preserve">. he was the secretary of the </w:t>
      </w:r>
      <w:r w:rsidRPr="00000994">
        <w:t>student research committee</w:t>
      </w:r>
      <w:r>
        <w:t xml:space="preserve"> of Tabriz university of medical sciences and he has 9 registerated patents in field of anesthesia and medicine.  </w:t>
      </w:r>
    </w:p>
    <w:p w:rsidR="00272994" w:rsidRDefault="00272994" w:rsidP="002B3E67">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sidR="002B3E67" w:rsidRPr="002B3E67">
        <w:rPr>
          <w:sz w:val="22"/>
          <w:szCs w:val="22"/>
          <w:lang w:val="pl-PL"/>
        </w:rPr>
        <w:t>Behzad Kazemi Haki</w:t>
      </w:r>
    </w:p>
    <w:p w:rsidR="00272994" w:rsidRDefault="00272994" w:rsidP="00272994">
      <w:pPr>
        <w:autoSpaceDE w:val="0"/>
        <w:autoSpaceDN w:val="0"/>
        <w:adjustRightInd w:val="0"/>
        <w:rPr>
          <w:sz w:val="18"/>
          <w:szCs w:val="18"/>
          <w:lang w:bidi="fa-IR"/>
        </w:rPr>
      </w:pPr>
      <w:r>
        <w:rPr>
          <w:lang w:val="en-NZ"/>
        </w:rPr>
        <w:t xml:space="preserve">Affiliation: </w:t>
      </w:r>
      <w:r w:rsidRPr="00272994">
        <w:rPr>
          <w:sz w:val="22"/>
          <w:szCs w:val="22"/>
          <w:lang w:bidi="fa-IR"/>
        </w:rPr>
        <w:t>Department of Anesthesiology, Urmia University of Medical Science, Urmia, Iran</w:t>
      </w:r>
    </w:p>
    <w:p w:rsidR="00AC3BCD" w:rsidRPr="005E2643" w:rsidRDefault="00272994" w:rsidP="00967441">
      <w:pPr>
        <w:autoSpaceDE w:val="0"/>
        <w:autoSpaceDN w:val="0"/>
        <w:adjustRightInd w:val="0"/>
        <w:rPr>
          <w:lang w:val="en-NZ"/>
        </w:rPr>
      </w:pPr>
      <w:r>
        <w:rPr>
          <w:lang w:val="en-NZ"/>
        </w:rPr>
        <w:t xml:space="preserve">University/ Organization name: </w:t>
      </w:r>
      <w:r w:rsidRPr="00272994">
        <w:rPr>
          <w:sz w:val="22"/>
          <w:szCs w:val="22"/>
          <w:lang w:bidi="fa-IR"/>
        </w:rPr>
        <w:t>Urmia University of Medical Science</w:t>
      </w:r>
      <w:r w:rsidRPr="008A690F">
        <w:rPr>
          <w:lang w:val="en-NZ"/>
        </w:rPr>
        <w:br/>
        <w:t>Contact number:</w:t>
      </w:r>
      <w:r>
        <w:rPr>
          <w:lang w:val="en-NZ"/>
        </w:rPr>
        <w:t xml:space="preserve"> +98914</w:t>
      </w:r>
      <w:r w:rsidR="002B3E67">
        <w:rPr>
          <w:lang w:val="en-NZ"/>
        </w:rPr>
        <w:t>9380765</w:t>
      </w:r>
      <w:r>
        <w:rPr>
          <w:lang w:val="en-NZ"/>
        </w:rPr>
        <w:br/>
        <w:t>Category: (</w:t>
      </w:r>
      <w:r w:rsidR="00967441">
        <w:rPr>
          <w:lang w:val="en-NZ"/>
        </w:rPr>
        <w:t>Keynote S</w:t>
      </w:r>
      <w:bookmarkStart w:id="0" w:name="_GoBack"/>
      <w:bookmarkEnd w:id="0"/>
      <w:r w:rsidR="00967441">
        <w:rPr>
          <w:lang w:val="en-NZ"/>
        </w:rPr>
        <w:t>peaker</w:t>
      </w:r>
      <w:r w:rsidRPr="008A690F">
        <w:rPr>
          <w:lang w:val="en-NZ"/>
        </w:rPr>
        <w:t>)</w:t>
      </w:r>
    </w:p>
    <w:sectPr w:rsidR="00AC3BCD" w:rsidRPr="005E2643" w:rsidSect="00272994">
      <w:headerReference w:type="even" r:id="rId9"/>
      <w:headerReference w:type="default" r:id="rId10"/>
      <w:footerReference w:type="even" r:id="rId11"/>
      <w:footerReference w:type="default" r:id="rId12"/>
      <w:headerReference w:type="first" r:id="rId13"/>
      <w:footerReference w:type="first" r:id="rId14"/>
      <w:pgSz w:w="11906" w:h="16838"/>
      <w:pgMar w:top="540"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4A57" w:rsidRDefault="00004A57" w:rsidP="00671A59">
      <w:r>
        <w:separator/>
      </w:r>
    </w:p>
  </w:endnote>
  <w:endnote w:type="continuationSeparator" w:id="0">
    <w:p w:rsidR="00004A57" w:rsidRDefault="00004A57"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dvOTb92eb7df.I">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4A57" w:rsidRDefault="00004A57" w:rsidP="00671A59">
      <w:r>
        <w:separator/>
      </w:r>
    </w:p>
  </w:footnote>
  <w:footnote w:type="continuationSeparator" w:id="0">
    <w:p w:rsidR="00004A57" w:rsidRDefault="00004A57" w:rsidP="00671A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91584"/>
    <w:multiLevelType w:val="hybridMultilevel"/>
    <w:tmpl w:val="40A8D2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1707E8"/>
    <w:multiLevelType w:val="hybridMultilevel"/>
    <w:tmpl w:val="F38A9B30"/>
    <w:lvl w:ilvl="0" w:tplc="00AE7DA8">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5E67EB2"/>
    <w:multiLevelType w:val="hybridMultilevel"/>
    <w:tmpl w:val="D8060B92"/>
    <w:lvl w:ilvl="0" w:tplc="950C9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YxNrUws7Q0MjKzNDVR0lEKTi0uzszPAykwNKoFAMSFq1ItAAAA"/>
  </w:docVars>
  <w:rsids>
    <w:rsidRoot w:val="00BF5676"/>
    <w:rsid w:val="00002DC9"/>
    <w:rsid w:val="00004A57"/>
    <w:rsid w:val="00020612"/>
    <w:rsid w:val="00023D76"/>
    <w:rsid w:val="00045B68"/>
    <w:rsid w:val="00046053"/>
    <w:rsid w:val="000553D6"/>
    <w:rsid w:val="00072E30"/>
    <w:rsid w:val="00085B88"/>
    <w:rsid w:val="00090564"/>
    <w:rsid w:val="00097CA5"/>
    <w:rsid w:val="000A4C72"/>
    <w:rsid w:val="000C32C8"/>
    <w:rsid w:val="000E7A02"/>
    <w:rsid w:val="000F161D"/>
    <w:rsid w:val="00101A04"/>
    <w:rsid w:val="00106952"/>
    <w:rsid w:val="001216E5"/>
    <w:rsid w:val="001247FD"/>
    <w:rsid w:val="0013563F"/>
    <w:rsid w:val="00145878"/>
    <w:rsid w:val="0014798C"/>
    <w:rsid w:val="001A411C"/>
    <w:rsid w:val="001B1336"/>
    <w:rsid w:val="001B2F77"/>
    <w:rsid w:val="001B6DE6"/>
    <w:rsid w:val="001F414A"/>
    <w:rsid w:val="00205354"/>
    <w:rsid w:val="002659F1"/>
    <w:rsid w:val="00270EC9"/>
    <w:rsid w:val="00272994"/>
    <w:rsid w:val="00292DC0"/>
    <w:rsid w:val="002B18D5"/>
    <w:rsid w:val="002B3E67"/>
    <w:rsid w:val="002C0F2B"/>
    <w:rsid w:val="002D2E5A"/>
    <w:rsid w:val="003425E0"/>
    <w:rsid w:val="0035109F"/>
    <w:rsid w:val="003753DD"/>
    <w:rsid w:val="0039382D"/>
    <w:rsid w:val="003A4429"/>
    <w:rsid w:val="003B466F"/>
    <w:rsid w:val="004206C2"/>
    <w:rsid w:val="00450DC6"/>
    <w:rsid w:val="00457874"/>
    <w:rsid w:val="004775E3"/>
    <w:rsid w:val="0049217F"/>
    <w:rsid w:val="004A262E"/>
    <w:rsid w:val="004A2CA1"/>
    <w:rsid w:val="004B1489"/>
    <w:rsid w:val="004B3B30"/>
    <w:rsid w:val="004E78DF"/>
    <w:rsid w:val="0050390D"/>
    <w:rsid w:val="00505DA1"/>
    <w:rsid w:val="00513B24"/>
    <w:rsid w:val="005408D9"/>
    <w:rsid w:val="00544AF4"/>
    <w:rsid w:val="00555DAD"/>
    <w:rsid w:val="0057325E"/>
    <w:rsid w:val="005A5690"/>
    <w:rsid w:val="005B168A"/>
    <w:rsid w:val="005C2EA1"/>
    <w:rsid w:val="005C3848"/>
    <w:rsid w:val="005D43ED"/>
    <w:rsid w:val="005E2643"/>
    <w:rsid w:val="00605142"/>
    <w:rsid w:val="00606B83"/>
    <w:rsid w:val="00612C13"/>
    <w:rsid w:val="0062582F"/>
    <w:rsid w:val="006511AA"/>
    <w:rsid w:val="00671A59"/>
    <w:rsid w:val="0069033F"/>
    <w:rsid w:val="00691F82"/>
    <w:rsid w:val="0069695F"/>
    <w:rsid w:val="006A608C"/>
    <w:rsid w:val="006B463C"/>
    <w:rsid w:val="006C2381"/>
    <w:rsid w:val="006C51B8"/>
    <w:rsid w:val="006D674D"/>
    <w:rsid w:val="006F0C5C"/>
    <w:rsid w:val="00717DDC"/>
    <w:rsid w:val="007258AA"/>
    <w:rsid w:val="007315DF"/>
    <w:rsid w:val="00743CCA"/>
    <w:rsid w:val="00746319"/>
    <w:rsid w:val="00755DDF"/>
    <w:rsid w:val="00783B27"/>
    <w:rsid w:val="007875D1"/>
    <w:rsid w:val="00790C29"/>
    <w:rsid w:val="007F0333"/>
    <w:rsid w:val="00800D58"/>
    <w:rsid w:val="0080279C"/>
    <w:rsid w:val="0081575D"/>
    <w:rsid w:val="00834D93"/>
    <w:rsid w:val="00862283"/>
    <w:rsid w:val="008A3E9A"/>
    <w:rsid w:val="008A690F"/>
    <w:rsid w:val="008C173D"/>
    <w:rsid w:val="00901E5B"/>
    <w:rsid w:val="00916D76"/>
    <w:rsid w:val="00940056"/>
    <w:rsid w:val="00967441"/>
    <w:rsid w:val="00970E67"/>
    <w:rsid w:val="00977D81"/>
    <w:rsid w:val="009821B4"/>
    <w:rsid w:val="009A6AD9"/>
    <w:rsid w:val="009B07D3"/>
    <w:rsid w:val="009B0CCF"/>
    <w:rsid w:val="009B7F4F"/>
    <w:rsid w:val="009D3EA4"/>
    <w:rsid w:val="009E6632"/>
    <w:rsid w:val="009E6C61"/>
    <w:rsid w:val="00A31D17"/>
    <w:rsid w:val="00A3732A"/>
    <w:rsid w:val="00A41107"/>
    <w:rsid w:val="00A50066"/>
    <w:rsid w:val="00A50387"/>
    <w:rsid w:val="00A63F7C"/>
    <w:rsid w:val="00A668A1"/>
    <w:rsid w:val="00A76E81"/>
    <w:rsid w:val="00A83688"/>
    <w:rsid w:val="00A83863"/>
    <w:rsid w:val="00AB2B06"/>
    <w:rsid w:val="00AC3BCD"/>
    <w:rsid w:val="00AD0DAB"/>
    <w:rsid w:val="00AD6315"/>
    <w:rsid w:val="00AE1687"/>
    <w:rsid w:val="00AE66B9"/>
    <w:rsid w:val="00AF4356"/>
    <w:rsid w:val="00B26097"/>
    <w:rsid w:val="00B27625"/>
    <w:rsid w:val="00B44D7E"/>
    <w:rsid w:val="00B675D9"/>
    <w:rsid w:val="00B7329C"/>
    <w:rsid w:val="00B83DAD"/>
    <w:rsid w:val="00BF5676"/>
    <w:rsid w:val="00C07191"/>
    <w:rsid w:val="00C24F20"/>
    <w:rsid w:val="00C37D70"/>
    <w:rsid w:val="00CC0B31"/>
    <w:rsid w:val="00CE08A2"/>
    <w:rsid w:val="00D2799E"/>
    <w:rsid w:val="00D367E3"/>
    <w:rsid w:val="00D4457B"/>
    <w:rsid w:val="00D55CF9"/>
    <w:rsid w:val="00DA2249"/>
    <w:rsid w:val="00DA581F"/>
    <w:rsid w:val="00DC1505"/>
    <w:rsid w:val="00DC29A1"/>
    <w:rsid w:val="00DC7405"/>
    <w:rsid w:val="00DD3006"/>
    <w:rsid w:val="00DE2102"/>
    <w:rsid w:val="00DE2741"/>
    <w:rsid w:val="00DE3488"/>
    <w:rsid w:val="00E03CF5"/>
    <w:rsid w:val="00E119D1"/>
    <w:rsid w:val="00E13DB5"/>
    <w:rsid w:val="00E57FC3"/>
    <w:rsid w:val="00E713DA"/>
    <w:rsid w:val="00E85CF8"/>
    <w:rsid w:val="00EB353E"/>
    <w:rsid w:val="00EB3703"/>
    <w:rsid w:val="00EC2273"/>
    <w:rsid w:val="00ED51D7"/>
    <w:rsid w:val="00EE1DF0"/>
    <w:rsid w:val="00EE5157"/>
    <w:rsid w:val="00EF561C"/>
    <w:rsid w:val="00F01887"/>
    <w:rsid w:val="00F215A7"/>
    <w:rsid w:val="00F42DCF"/>
    <w:rsid w:val="00F709F5"/>
    <w:rsid w:val="00F90AE2"/>
    <w:rsid w:val="00FA5CBE"/>
    <w:rsid w:val="00FB641C"/>
    <w:rsid w:val="00FC1073"/>
    <w:rsid w:val="00FC44C7"/>
    <w:rsid w:val="00FF16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DD342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val="x-none" w:eastAsia="x-none"/>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val="x-none" w:eastAsia="x-none"/>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val="x-none" w:eastAsia="x-none"/>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val="x-none" w:eastAsia="x-none"/>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val="x-none" w:eastAsia="x-none"/>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lang w:val="x-none" w:eastAsia="x-none"/>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lang w:val="x-none" w:eastAsia="x-none"/>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normalchar">
    <w:name w:val="normal__char"/>
    <w:basedOn w:val="DefaultParagraphFont"/>
    <w:rsid w:val="003B466F"/>
  </w:style>
  <w:style w:type="paragraph" w:styleId="ListParagraph">
    <w:name w:val="List Paragraph"/>
    <w:basedOn w:val="Normal"/>
    <w:uiPriority w:val="34"/>
    <w:qFormat/>
    <w:rsid w:val="003425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50A11-1232-4631-8B38-8CF389BEB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403</Words>
  <Characters>2302</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2700</CharactersWithSpaces>
  <SharedDoc>false</SharedDoc>
  <HLinks>
    <vt:vector size="6" baseType="variant">
      <vt:variant>
        <vt:i4>2359368</vt:i4>
      </vt:variant>
      <vt:variant>
        <vt:i4>0</vt:i4>
      </vt:variant>
      <vt:variant>
        <vt:i4>0</vt:i4>
      </vt:variant>
      <vt:variant>
        <vt:i4>5</vt:i4>
      </vt:variant>
      <vt:variant>
        <vt:lpwstr>mailto:Behzad.anesthesia@gmail.com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2020-02-25T07:12:00Z</dcterms:created>
  <dcterms:modified xsi:type="dcterms:W3CDTF">2020-03-17T11:24:00Z</dcterms:modified>
</cp:coreProperties>
</file>