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0C3" w:rsidRPr="00856E2A" w:rsidRDefault="0091667D" w:rsidP="00FB5A5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Title: Postoperative analgesia for open midline incisions in Gynaecological Oncology Surgery : </w:t>
      </w:r>
      <w:r w:rsidR="00FC50C3" w:rsidRPr="00856E2A">
        <w:rPr>
          <w:rFonts w:ascii="Times New Roman" w:hAnsi="Times New Roman" w:cs="Times New Roman"/>
          <w:b/>
          <w:sz w:val="32"/>
          <w:szCs w:val="32"/>
        </w:rPr>
        <w:t>Ultrasound guided bilateral rectus sheath block with multimodal analgesia versus intrathecal morphine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C50C3" w:rsidRPr="00856E2A">
        <w:rPr>
          <w:rFonts w:ascii="Times New Roman" w:hAnsi="Times New Roman" w:cs="Times New Roman"/>
          <w:b/>
          <w:sz w:val="32"/>
          <w:szCs w:val="32"/>
        </w:rPr>
        <w:t>–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C50C3" w:rsidRPr="00856E2A">
        <w:rPr>
          <w:rFonts w:ascii="Times New Roman" w:hAnsi="Times New Roman" w:cs="Times New Roman"/>
          <w:b/>
          <w:sz w:val="32"/>
          <w:szCs w:val="32"/>
        </w:rPr>
        <w:t xml:space="preserve">A </w:t>
      </w:r>
      <w:proofErr w:type="spellStart"/>
      <w:r w:rsidR="00FC50C3" w:rsidRPr="00856E2A">
        <w:rPr>
          <w:rFonts w:ascii="Times New Roman" w:hAnsi="Times New Roman" w:cs="Times New Roman"/>
          <w:b/>
          <w:sz w:val="32"/>
          <w:szCs w:val="32"/>
        </w:rPr>
        <w:t>non inferiority</w:t>
      </w:r>
      <w:proofErr w:type="spellEnd"/>
      <w:r w:rsidR="00FC50C3" w:rsidRPr="00856E2A">
        <w:rPr>
          <w:rFonts w:ascii="Times New Roman" w:hAnsi="Times New Roman" w:cs="Times New Roman"/>
          <w:b/>
          <w:sz w:val="32"/>
          <w:szCs w:val="32"/>
        </w:rPr>
        <w:t xml:space="preserve"> trial</w:t>
      </w:r>
    </w:p>
    <w:p w:rsidR="00F655D6" w:rsidRPr="00856E2A" w:rsidRDefault="0078787A" w:rsidP="00FB5A5D">
      <w:pPr>
        <w:jc w:val="both"/>
        <w:rPr>
          <w:rFonts w:ascii="Times New Roman" w:hAnsi="Times New Roman" w:cs="Times New Roman"/>
          <w:sz w:val="24"/>
          <w:szCs w:val="24"/>
        </w:rPr>
      </w:pPr>
      <w:r w:rsidRPr="0078787A">
        <w:rPr>
          <w:rFonts w:ascii="Times New Roman" w:hAnsi="Times New Roman" w:cs="Times New Roman"/>
          <w:sz w:val="24"/>
          <w:szCs w:val="20"/>
        </w:rPr>
        <w:t xml:space="preserve"> </w:t>
      </w:r>
      <w:r w:rsidRPr="00856E2A">
        <w:rPr>
          <w:rFonts w:ascii="Times New Roman" w:hAnsi="Times New Roman" w:cs="Times New Roman"/>
          <w:b/>
          <w:sz w:val="24"/>
          <w:szCs w:val="24"/>
        </w:rPr>
        <w:t>Alkananda Behera</w:t>
      </w:r>
      <w:r w:rsidRPr="00856E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E2A">
        <w:rPr>
          <w:rFonts w:ascii="Times New Roman" w:hAnsi="Times New Roman" w:cs="Times New Roman"/>
          <w:sz w:val="24"/>
          <w:szCs w:val="24"/>
        </w:rPr>
        <w:t>Vimi</w:t>
      </w:r>
      <w:proofErr w:type="spellEnd"/>
      <w:r w:rsidRPr="0085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2A">
        <w:rPr>
          <w:rFonts w:ascii="Times New Roman" w:hAnsi="Times New Roman" w:cs="Times New Roman"/>
          <w:sz w:val="24"/>
          <w:szCs w:val="24"/>
        </w:rPr>
        <w:t>Rewari</w:t>
      </w:r>
      <w:proofErr w:type="spellEnd"/>
      <w:r w:rsidRPr="00856E2A">
        <w:rPr>
          <w:rFonts w:ascii="Times New Roman" w:hAnsi="Times New Roman" w:cs="Times New Roman"/>
          <w:sz w:val="24"/>
          <w:szCs w:val="24"/>
        </w:rPr>
        <w:t xml:space="preserve">, Rashmi Ramachandran, </w:t>
      </w:r>
      <w:proofErr w:type="spellStart"/>
      <w:r w:rsidRPr="00856E2A">
        <w:rPr>
          <w:rFonts w:ascii="Times New Roman" w:hAnsi="Times New Roman" w:cs="Times New Roman"/>
          <w:sz w:val="24"/>
          <w:szCs w:val="24"/>
        </w:rPr>
        <w:t>Anjan</w:t>
      </w:r>
      <w:proofErr w:type="spellEnd"/>
      <w:r w:rsidRPr="0085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2A">
        <w:rPr>
          <w:rFonts w:ascii="Times New Roman" w:hAnsi="Times New Roman" w:cs="Times New Roman"/>
          <w:sz w:val="24"/>
          <w:szCs w:val="24"/>
        </w:rPr>
        <w:t>Trikha</w:t>
      </w:r>
      <w:proofErr w:type="spellEnd"/>
      <w:r w:rsidRPr="00856E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E2A">
        <w:rPr>
          <w:rFonts w:ascii="Times New Roman" w:hAnsi="Times New Roman" w:cs="Times New Roman"/>
          <w:sz w:val="24"/>
          <w:szCs w:val="24"/>
        </w:rPr>
        <w:t>Sunesh</w:t>
      </w:r>
      <w:proofErr w:type="spellEnd"/>
      <w:r w:rsidRPr="00856E2A">
        <w:rPr>
          <w:rFonts w:ascii="Times New Roman" w:hAnsi="Times New Roman" w:cs="Times New Roman"/>
          <w:sz w:val="24"/>
          <w:szCs w:val="24"/>
        </w:rPr>
        <w:t xml:space="preserve"> Kumar.</w:t>
      </w:r>
    </w:p>
    <w:p w:rsidR="0078787A" w:rsidRDefault="0078787A" w:rsidP="00FB5A5D">
      <w:pPr>
        <w:jc w:val="both"/>
        <w:rPr>
          <w:rFonts w:ascii="Times New Roman" w:hAnsi="Times New Roman" w:cs="Times New Roman"/>
          <w:sz w:val="24"/>
          <w:szCs w:val="24"/>
        </w:rPr>
      </w:pPr>
      <w:r w:rsidRPr="00856E2A">
        <w:rPr>
          <w:rFonts w:ascii="Times New Roman" w:hAnsi="Times New Roman" w:cs="Times New Roman"/>
          <w:sz w:val="24"/>
          <w:szCs w:val="24"/>
        </w:rPr>
        <w:t>All India Institute of Medical Sciences (AIIMS) , Ansari Nagar, New Delhi- 110029, India.</w:t>
      </w:r>
    </w:p>
    <w:p w:rsidR="00856E2A" w:rsidRDefault="00FC50C3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56E2A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>Introduction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: Rectus sheath block (RSB) is an effective modality for provision</w:t>
      </w:r>
      <w:r w:rsidR="00FB5A5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of midline somatic analgesia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. The objective of this study was to evaluate whether multimodal analgesia</w:t>
      </w:r>
      <w:r w:rsidR="00F655D6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(MMA)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in combination with ultrasound guided bilateral RSB provides si</w:t>
      </w:r>
      <w:r w:rsidR="00F655D6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milar analgesia as compared to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intrathecal morphine (ITM) in women undergoing gynaecological oncology surgery</w:t>
      </w:r>
      <w:r w:rsidR="0078787A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(GOS)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with a midline incision.</w:t>
      </w:r>
      <w:r w:rsidR="00FB5A5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The primary outcome was total postoperative morphine</w:t>
      </w:r>
      <w:r w:rsidR="0078787A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consumption</w:t>
      </w:r>
      <w:r w:rsidR="00F655D6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via intravenous patient-controlled analgesia (PCA)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at 24 hours. The secondary outcomes included</w:t>
      </w:r>
      <w:r w:rsidR="00643C1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960F76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time to first request for analgesia, 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VAS scores for pain at rest and on movement, adverse effects of opioids and patient satisfaction.</w:t>
      </w:r>
      <w:r w:rsidR="00FB5A5D" w:rsidRPr="00856E2A">
        <w:rPr>
          <w:rFonts w:ascii="Arial" w:hAnsi="Arial" w:cs="Arial"/>
          <w:color w:val="333333"/>
          <w:sz w:val="24"/>
          <w:szCs w:val="24"/>
        </w:rPr>
        <w:t xml:space="preserve"> </w:t>
      </w:r>
      <w:r w:rsidRPr="00856E2A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>Methods:</w:t>
      </w:r>
      <w:r w:rsidR="00FB5A5D" w:rsidRPr="00856E2A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The study was a prospective, randomized,</w:t>
      </w:r>
      <w:r w:rsidR="00F655D6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non-blinded, non–inferiority trial.  90 ASA physical status 1 and 2 patients aged 18-80 years</w:t>
      </w:r>
      <w:r w:rsidR="0078787A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scheduled for elective GOS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were included in</w:t>
      </w:r>
      <w:r w:rsidR="00643C1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the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 trial. Patients were randomized to one of</w:t>
      </w:r>
      <w:r w:rsidR="00FB5A5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the following two study groups.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1) Group ITM : 4 </w:t>
      </w:r>
      <w:proofErr w:type="spellStart"/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μg</w:t>
      </w:r>
      <w:proofErr w:type="spellEnd"/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/kg morphine administered intrathecally preoperatively 2) Group RSB : 20 ml of 0.375% Ropivacaine injected into rectus sheath space </w:t>
      </w:r>
      <w:r w:rsidR="00643C1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bilaterally 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under ultrasound visualization</w:t>
      </w:r>
      <w:r w:rsidR="00FB5A5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pre-operatively 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along</w:t>
      </w:r>
      <w:r w:rsidR="00FB5A5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with intravenous dexamethasone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, paracetamol  and diclofenac sodium</w:t>
      </w:r>
      <w:r w:rsidR="00F655D6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as part of MMA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. Postoperative analgesia was</w:t>
      </w:r>
      <w:r w:rsidR="00FB5A5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administered with IV morphine 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via a PCA</w:t>
      </w:r>
      <w:r w:rsidR="00F655D6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pump for 24 hrs.</w:t>
      </w:r>
      <w:r w:rsidRPr="00856E2A">
        <w:rPr>
          <w:rFonts w:ascii="Arial" w:hAnsi="Arial" w:cs="Arial"/>
          <w:color w:val="333333"/>
          <w:sz w:val="24"/>
          <w:szCs w:val="24"/>
        </w:rPr>
        <w:br/>
      </w:r>
      <w:r w:rsidRPr="00856E2A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>Results: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 PCA morphine used over 24 hours was more in group RSB than in  Group ITM [27.20 ± 7.74 mg  versus 21.73 ± 7.79 mg (P=0.001). Postoperative pain scores at rest and on movement were higher in group RSB at 6, 12 and 24 hours and 2,4,6,12,24 hours respectively (P&lt;0.05). </w:t>
      </w:r>
      <w:r w:rsidR="00643C1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However, RSB</w:t>
      </w:r>
      <w:r w:rsidR="0078787A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was associated with </w:t>
      </w:r>
      <w:r w:rsidR="00643C1D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lesser side-effects in comparison to ITM</w:t>
      </w:r>
      <w:r w:rsidR="00F655D6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and thereby contributed to equivalent patient satisfaction.</w:t>
      </w:r>
      <w:r w:rsidR="00F655D6" w:rsidRPr="00856E2A">
        <w:rPr>
          <w:rFonts w:ascii="Arial" w:hAnsi="Arial" w:cs="Arial"/>
          <w:color w:val="333333"/>
          <w:sz w:val="24"/>
          <w:szCs w:val="24"/>
        </w:rPr>
        <w:t xml:space="preserve"> </w:t>
      </w:r>
      <w:r w:rsidRPr="00856E2A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>Conclusion:</w:t>
      </w:r>
      <w:r w:rsidR="00856E2A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T</w:t>
      </w: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he  present study failed to show the non-inferiority of RSB combined with multimodal analgesia in comparison to ITM in terms of post-operative pain relief in gynaecological oncology surgery.</w:t>
      </w:r>
    </w:p>
    <w:p w:rsidR="00856E2A" w:rsidRDefault="00856E2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856E2A" w:rsidRDefault="00856E2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856E2A" w:rsidRDefault="00856E2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856E2A" w:rsidRDefault="00856E2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856E2A" w:rsidRDefault="00856E2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856E2A" w:rsidRDefault="00856E2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856E2A" w:rsidRDefault="00856E2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32222A" w:rsidRPr="00856E2A" w:rsidRDefault="0032222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56E2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Image: </w:t>
      </w:r>
    </w:p>
    <w:p w:rsidR="0032222A" w:rsidRPr="00856E2A" w:rsidRDefault="0032222A" w:rsidP="00FB5A5D">
      <w:pPr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 w:rsidRPr="00856E2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drawing>
          <wp:inline distT="0" distB="0" distL="0" distR="0" wp14:anchorId="2B323455" wp14:editId="400E7540">
            <wp:extent cx="4162926" cy="204914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14279" cy="207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22A" w:rsidRPr="00856E2A" w:rsidRDefault="0032222A" w:rsidP="00FB5A5D">
      <w:pPr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 w:rsidRPr="00856E2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Fig 1 : </w:t>
      </w:r>
      <w:proofErr w:type="spellStart"/>
      <w:r w:rsidRPr="00856E2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Sonoanatomy</w:t>
      </w:r>
      <w:proofErr w:type="spellEnd"/>
      <w:r w:rsidRPr="00856E2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of Rectus Sheath Block . RA – Rectus Abdominis muscle. </w:t>
      </w:r>
    </w:p>
    <w:p w:rsidR="0032222A" w:rsidRPr="00856E2A" w:rsidRDefault="00B40700" w:rsidP="00FB5A5D">
      <w:pPr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 w:rsidRPr="00856E2A">
        <w:rPr>
          <w:rFonts w:eastAsia="Calibri"/>
          <w:b/>
          <w:bCs/>
          <w:noProof/>
          <w:sz w:val="24"/>
          <w:szCs w:val="24"/>
        </w:rPr>
        <w:drawing>
          <wp:inline distT="0" distB="0" distL="0" distR="0" wp14:anchorId="48C99D2E" wp14:editId="799FB8F0">
            <wp:extent cx="4356100" cy="2517560"/>
            <wp:effectExtent l="12700" t="12700" r="12700" b="1016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3382" cy="2550666"/>
                    </a:xfrm>
                    <a:prstGeom prst="rect">
                      <a:avLst/>
                    </a:prstGeom>
                    <a:ln w="1270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2222A" w:rsidRPr="00856E2A" w:rsidRDefault="00B40700" w:rsidP="00FB5A5D">
      <w:pPr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 w:rsidRPr="00856E2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Fig 2. Total 24 hr morphine consumption via PCA pump. ITM – intrathecal morphine, RSB – rectus sheath block.</w:t>
      </w:r>
    </w:p>
    <w:p w:rsidR="0078787A" w:rsidRPr="00856E2A" w:rsidRDefault="0078787A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8C1835" w:rsidRPr="00856E2A" w:rsidRDefault="00FC50C3" w:rsidP="00FB5A5D">
      <w:pPr>
        <w:jc w:val="both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856E2A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 Reference: </w:t>
      </w:r>
    </w:p>
    <w:p w:rsidR="00960F76" w:rsidRPr="00856E2A" w:rsidRDefault="00960F76" w:rsidP="00FB5A5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1) </w:t>
      </w:r>
      <w:proofErr w:type="spellStart"/>
      <w:r w:rsidRPr="00856E2A">
        <w:rPr>
          <w:rFonts w:ascii="Arial" w:hAnsi="Arial" w:cs="Arial"/>
          <w:sz w:val="24"/>
          <w:szCs w:val="24"/>
        </w:rPr>
        <w:t>Meylan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N, Elia N, </w:t>
      </w:r>
      <w:proofErr w:type="spellStart"/>
      <w:r w:rsidRPr="00856E2A">
        <w:rPr>
          <w:rFonts w:ascii="Arial" w:hAnsi="Arial" w:cs="Arial"/>
          <w:sz w:val="24"/>
          <w:szCs w:val="24"/>
        </w:rPr>
        <w:t>Lysakowski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C et al. Benefit and risk of intrathecal morphine without local anaesthetic in patients undergoing major surgery. Meta-analysis of randomized trials. Br J </w:t>
      </w:r>
      <w:proofErr w:type="spellStart"/>
      <w:r w:rsidRPr="00856E2A">
        <w:rPr>
          <w:rFonts w:ascii="Arial" w:hAnsi="Arial" w:cs="Arial"/>
          <w:sz w:val="24"/>
          <w:szCs w:val="24"/>
        </w:rPr>
        <w:t>Anaesth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2009; 102: 156-67.</w:t>
      </w:r>
    </w:p>
    <w:p w:rsidR="00FC50C3" w:rsidRPr="00856E2A" w:rsidRDefault="00960F76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>2</w:t>
      </w:r>
      <w:r w:rsidR="008C1835" w:rsidRPr="00856E2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) </w:t>
      </w:r>
      <w:r w:rsidR="00FC50C3" w:rsidRPr="00856E2A">
        <w:rPr>
          <w:rFonts w:ascii="Arial" w:hAnsi="Arial" w:cs="Arial"/>
          <w:sz w:val="24"/>
          <w:szCs w:val="24"/>
        </w:rPr>
        <w:t xml:space="preserve">Webster K. Ultrasound guided rectus sheath block - analgesia for abdominal surgery. Update </w:t>
      </w:r>
      <w:proofErr w:type="spellStart"/>
      <w:r w:rsidR="00FC50C3" w:rsidRPr="00856E2A">
        <w:rPr>
          <w:rFonts w:ascii="Arial" w:hAnsi="Arial" w:cs="Arial"/>
          <w:sz w:val="24"/>
          <w:szCs w:val="24"/>
        </w:rPr>
        <w:t>Anaesth</w:t>
      </w:r>
      <w:proofErr w:type="spellEnd"/>
      <w:r w:rsidR="00FC50C3" w:rsidRPr="00856E2A">
        <w:rPr>
          <w:rFonts w:ascii="Arial" w:hAnsi="Arial" w:cs="Arial"/>
          <w:sz w:val="24"/>
          <w:szCs w:val="24"/>
        </w:rPr>
        <w:t xml:space="preserve"> 2010; 26: 12 - 17.</w:t>
      </w:r>
    </w:p>
    <w:p w:rsidR="00960F76" w:rsidRPr="00856E2A" w:rsidRDefault="00960F76" w:rsidP="00960F76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56E2A">
        <w:rPr>
          <w:rFonts w:ascii="Arial" w:hAnsi="Arial" w:cs="Arial"/>
          <w:sz w:val="24"/>
          <w:szCs w:val="24"/>
        </w:rPr>
        <w:t xml:space="preserve">3) Ghassan E. </w:t>
      </w:r>
      <w:proofErr w:type="spellStart"/>
      <w:r w:rsidRPr="00856E2A">
        <w:rPr>
          <w:rFonts w:ascii="Arial" w:hAnsi="Arial" w:cs="Arial"/>
          <w:sz w:val="24"/>
          <w:szCs w:val="24"/>
        </w:rPr>
        <w:t>Kanazi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, Marie T. </w:t>
      </w:r>
      <w:proofErr w:type="spellStart"/>
      <w:r w:rsidRPr="00856E2A">
        <w:rPr>
          <w:rFonts w:ascii="Arial" w:hAnsi="Arial" w:cs="Arial"/>
          <w:sz w:val="24"/>
          <w:szCs w:val="24"/>
        </w:rPr>
        <w:t>Aouad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, F W Abdallah et al. The analgesic efficacy of subarachnoid morphine in comparison with ultrasound-guided transversus abdominis </w:t>
      </w:r>
      <w:r w:rsidRPr="00856E2A">
        <w:rPr>
          <w:rFonts w:ascii="Arial" w:hAnsi="Arial" w:cs="Arial"/>
          <w:sz w:val="24"/>
          <w:szCs w:val="24"/>
        </w:rPr>
        <w:lastRenderedPageBreak/>
        <w:t xml:space="preserve">plane block after caesarean delivery. A Randomized Controlled Trial. </w:t>
      </w:r>
      <w:proofErr w:type="spellStart"/>
      <w:r w:rsidRPr="00856E2A">
        <w:rPr>
          <w:rFonts w:ascii="Arial" w:hAnsi="Arial" w:cs="Arial"/>
          <w:sz w:val="24"/>
          <w:szCs w:val="24"/>
        </w:rPr>
        <w:t>Anesth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6E2A">
        <w:rPr>
          <w:rFonts w:ascii="Arial" w:hAnsi="Arial" w:cs="Arial"/>
          <w:sz w:val="24"/>
          <w:szCs w:val="24"/>
        </w:rPr>
        <w:t>Analg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2010; 111: 475-481.</w:t>
      </w:r>
    </w:p>
    <w:p w:rsidR="00960F76" w:rsidRPr="00856E2A" w:rsidRDefault="00960F76" w:rsidP="00960F76">
      <w:pPr>
        <w:jc w:val="both"/>
        <w:rPr>
          <w:sz w:val="24"/>
          <w:szCs w:val="24"/>
        </w:rPr>
      </w:pPr>
    </w:p>
    <w:p w:rsidR="00960F76" w:rsidRPr="00856E2A" w:rsidRDefault="00960F76" w:rsidP="00FB5A5D">
      <w:pPr>
        <w:jc w:val="both"/>
        <w:rPr>
          <w:rFonts w:ascii="Arial" w:hAnsi="Arial" w:cs="Arial"/>
          <w:sz w:val="24"/>
          <w:szCs w:val="24"/>
        </w:rPr>
      </w:pPr>
    </w:p>
    <w:p w:rsidR="008C1835" w:rsidRPr="00856E2A" w:rsidRDefault="00960F76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sz w:val="24"/>
          <w:szCs w:val="24"/>
        </w:rPr>
        <w:t>4</w:t>
      </w:r>
      <w:r w:rsidR="008C1835" w:rsidRPr="00856E2A">
        <w:rPr>
          <w:rFonts w:ascii="Arial" w:hAnsi="Arial" w:cs="Arial"/>
          <w:sz w:val="24"/>
          <w:szCs w:val="24"/>
        </w:rPr>
        <w:t xml:space="preserve">) I Kara, S </w:t>
      </w:r>
      <w:proofErr w:type="spellStart"/>
      <w:r w:rsidR="008C1835" w:rsidRPr="00856E2A">
        <w:rPr>
          <w:rFonts w:ascii="Arial" w:hAnsi="Arial" w:cs="Arial"/>
          <w:sz w:val="24"/>
          <w:szCs w:val="24"/>
        </w:rPr>
        <w:t>Apiliogullari</w:t>
      </w:r>
      <w:proofErr w:type="spellEnd"/>
      <w:r w:rsidR="008C1835" w:rsidRPr="00856E2A">
        <w:rPr>
          <w:rFonts w:ascii="Arial" w:hAnsi="Arial" w:cs="Arial"/>
          <w:sz w:val="24"/>
          <w:szCs w:val="24"/>
        </w:rPr>
        <w:t xml:space="preserve">, B </w:t>
      </w:r>
      <w:proofErr w:type="spellStart"/>
      <w:r w:rsidR="008C1835" w:rsidRPr="00856E2A">
        <w:rPr>
          <w:rFonts w:ascii="Arial" w:hAnsi="Arial" w:cs="Arial"/>
          <w:sz w:val="24"/>
          <w:szCs w:val="24"/>
        </w:rPr>
        <w:t>Oc</w:t>
      </w:r>
      <w:proofErr w:type="spellEnd"/>
      <w:r w:rsidR="008C1835" w:rsidRPr="00856E2A">
        <w:rPr>
          <w:rFonts w:ascii="Arial" w:hAnsi="Arial" w:cs="Arial"/>
          <w:sz w:val="24"/>
          <w:szCs w:val="24"/>
        </w:rPr>
        <w:t xml:space="preserve"> et al: The effects of intrathecal morphine on patient-controlled analgesia, morphine consumption, postoperative pain and satisfaction scores in patients undergoing gynaecological oncological surgery. J </w:t>
      </w:r>
      <w:proofErr w:type="spellStart"/>
      <w:r w:rsidRPr="00856E2A">
        <w:rPr>
          <w:rFonts w:ascii="Arial" w:hAnsi="Arial" w:cs="Arial"/>
          <w:sz w:val="24"/>
          <w:szCs w:val="24"/>
        </w:rPr>
        <w:t>Int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Med Res. 2012; 40: 666-672.</w:t>
      </w:r>
    </w:p>
    <w:p w:rsidR="008C1835" w:rsidRPr="00856E2A" w:rsidRDefault="00960F76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sz w:val="24"/>
          <w:szCs w:val="24"/>
        </w:rPr>
        <w:t>5</w:t>
      </w:r>
      <w:r w:rsidR="008C1835" w:rsidRPr="00856E2A">
        <w:rPr>
          <w:rFonts w:ascii="Arial" w:hAnsi="Arial" w:cs="Arial"/>
          <w:sz w:val="24"/>
          <w:szCs w:val="24"/>
        </w:rPr>
        <w:t>)</w:t>
      </w:r>
      <w:r w:rsidRPr="00856E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6E2A">
        <w:rPr>
          <w:rFonts w:ascii="Arial" w:hAnsi="Arial" w:cs="Arial"/>
          <w:sz w:val="24"/>
          <w:szCs w:val="24"/>
        </w:rPr>
        <w:t>Lui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MW, Li TKT, </w:t>
      </w:r>
      <w:proofErr w:type="spellStart"/>
      <w:r w:rsidRPr="00856E2A">
        <w:rPr>
          <w:rFonts w:ascii="Arial" w:hAnsi="Arial" w:cs="Arial"/>
          <w:sz w:val="24"/>
          <w:szCs w:val="24"/>
        </w:rPr>
        <w:t>Lui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F et al. A randomised, controlled trial of rectus sheath bupivacaine and intrathecal bupivacaine without or with intrathecal morphine vs. intrathecal bupivacaine and morphine after caesarean section. Anaesthesia 2017 Oct; 72 (10): 1225-9. </w:t>
      </w:r>
    </w:p>
    <w:p w:rsidR="00C23822" w:rsidRPr="00856E2A" w:rsidRDefault="00C23822" w:rsidP="00FB5A5D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23822" w:rsidRPr="00856E2A" w:rsidRDefault="00C23822" w:rsidP="00FB5A5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56E2A">
        <w:rPr>
          <w:rFonts w:ascii="Arial" w:hAnsi="Arial" w:cs="Arial"/>
          <w:b/>
          <w:bCs/>
          <w:sz w:val="24"/>
          <w:szCs w:val="24"/>
        </w:rPr>
        <w:t>Biography</w:t>
      </w:r>
    </w:p>
    <w:p w:rsidR="00F655D6" w:rsidRPr="00856E2A" w:rsidRDefault="00F655D6" w:rsidP="00FB5A5D">
      <w:pPr>
        <w:jc w:val="both"/>
        <w:rPr>
          <w:rFonts w:ascii="Arial" w:hAnsi="Arial" w:cs="Arial"/>
          <w:sz w:val="24"/>
          <w:szCs w:val="24"/>
        </w:rPr>
      </w:pPr>
    </w:p>
    <w:p w:rsidR="00F655D6" w:rsidRPr="00856E2A" w:rsidRDefault="00C23822" w:rsidP="00FB5A5D">
      <w:pPr>
        <w:jc w:val="both"/>
        <w:rPr>
          <w:rFonts w:ascii="Arial" w:hAnsi="Arial" w:cs="Arial"/>
          <w:b/>
          <w:sz w:val="24"/>
          <w:szCs w:val="24"/>
        </w:rPr>
      </w:pPr>
      <w:r w:rsidRPr="00856E2A">
        <w:rPr>
          <w:rFonts w:ascii="Arial" w:hAnsi="Arial" w:cs="Arial"/>
          <w:b/>
          <w:sz w:val="24"/>
          <w:szCs w:val="24"/>
        </w:rPr>
        <w:t xml:space="preserve">                                                           </w:t>
      </w:r>
      <w:r w:rsidRPr="00856E2A">
        <w:rPr>
          <w:rFonts w:ascii="Arial" w:hAnsi="Arial" w:cs="Arial"/>
          <w:b/>
          <w:sz w:val="24"/>
          <w:szCs w:val="24"/>
        </w:rPr>
        <w:drawing>
          <wp:inline distT="0" distB="0" distL="0" distR="0" wp14:anchorId="2696CC79" wp14:editId="022F0106">
            <wp:extent cx="1240750" cy="1023620"/>
            <wp:effectExtent l="0" t="0" r="444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7333" cy="104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5D6" w:rsidRPr="00856E2A" w:rsidRDefault="00ED5CC7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sz w:val="24"/>
          <w:szCs w:val="24"/>
        </w:rPr>
        <w:t xml:space="preserve">Alkananda Behera graduated </w:t>
      </w:r>
      <w:r w:rsidR="00F655D6" w:rsidRPr="00856E2A">
        <w:rPr>
          <w:rFonts w:ascii="Arial" w:hAnsi="Arial" w:cs="Arial"/>
          <w:sz w:val="24"/>
          <w:szCs w:val="24"/>
        </w:rPr>
        <w:t>from the prestigious All India Institute of</w:t>
      </w:r>
      <w:r w:rsidR="006944E8">
        <w:rPr>
          <w:rFonts w:ascii="Arial" w:hAnsi="Arial" w:cs="Arial"/>
          <w:sz w:val="24"/>
          <w:szCs w:val="24"/>
        </w:rPr>
        <w:t xml:space="preserve"> Medical Sciences (AIIMS),</w:t>
      </w:r>
      <w:r w:rsidRPr="00856E2A">
        <w:rPr>
          <w:rFonts w:ascii="Arial" w:hAnsi="Arial" w:cs="Arial"/>
          <w:sz w:val="24"/>
          <w:szCs w:val="24"/>
        </w:rPr>
        <w:t xml:space="preserve"> New Delhi, which is the best rankin</w:t>
      </w:r>
      <w:r w:rsidR="006944E8">
        <w:rPr>
          <w:rFonts w:ascii="Arial" w:hAnsi="Arial" w:cs="Arial"/>
          <w:sz w:val="24"/>
          <w:szCs w:val="24"/>
        </w:rPr>
        <w:t>g medical college in India over the past several decades</w:t>
      </w:r>
      <w:r w:rsidRPr="00856E2A">
        <w:rPr>
          <w:rFonts w:ascii="Arial" w:hAnsi="Arial" w:cs="Arial"/>
          <w:sz w:val="24"/>
          <w:szCs w:val="24"/>
        </w:rPr>
        <w:t>. She completed her post-graduation</w:t>
      </w:r>
      <w:r w:rsidR="006944E8">
        <w:rPr>
          <w:rFonts w:ascii="Arial" w:hAnsi="Arial" w:cs="Arial"/>
          <w:sz w:val="24"/>
          <w:szCs w:val="24"/>
        </w:rPr>
        <w:t xml:space="preserve"> ( Doctor of Medicine) in Anaesthesia </w:t>
      </w:r>
      <w:r w:rsidRPr="00856E2A">
        <w:rPr>
          <w:rFonts w:ascii="Arial" w:hAnsi="Arial" w:cs="Arial"/>
          <w:sz w:val="24"/>
          <w:szCs w:val="24"/>
        </w:rPr>
        <w:t xml:space="preserve">in June 2018 from the same college. She is currently working as a Senior Resident in the Department of Anaesthesiology, Pain Medicine and Critical Care at her alma mater. Her  academic interests include regional anaesthesia, ultrasound-guided blocks, pain medicine and </w:t>
      </w:r>
      <w:proofErr w:type="spellStart"/>
      <w:r w:rsidRPr="00856E2A">
        <w:rPr>
          <w:rFonts w:ascii="Arial" w:hAnsi="Arial" w:cs="Arial"/>
          <w:sz w:val="24"/>
          <w:szCs w:val="24"/>
        </w:rPr>
        <w:t>pediatric</w:t>
      </w:r>
      <w:proofErr w:type="spellEnd"/>
      <w:r w:rsidRPr="00856E2A">
        <w:rPr>
          <w:rFonts w:ascii="Arial" w:hAnsi="Arial" w:cs="Arial"/>
          <w:sz w:val="24"/>
          <w:szCs w:val="24"/>
        </w:rPr>
        <w:t xml:space="preserve"> anaesthesia. She also actively participates in</w:t>
      </w:r>
      <w:r w:rsidR="00B27659" w:rsidRPr="00856E2A">
        <w:rPr>
          <w:rFonts w:ascii="Arial" w:hAnsi="Arial" w:cs="Arial"/>
          <w:sz w:val="24"/>
          <w:szCs w:val="24"/>
        </w:rPr>
        <w:t xml:space="preserve"> extra-curricular activities which</w:t>
      </w:r>
      <w:r w:rsidRPr="00856E2A">
        <w:rPr>
          <w:rFonts w:ascii="Arial" w:hAnsi="Arial" w:cs="Arial"/>
          <w:sz w:val="24"/>
          <w:szCs w:val="24"/>
        </w:rPr>
        <w:t xml:space="preserve"> include</w:t>
      </w:r>
      <w:r w:rsidR="00B27659" w:rsidRPr="00856E2A">
        <w:rPr>
          <w:rFonts w:ascii="Arial" w:hAnsi="Arial" w:cs="Arial"/>
          <w:sz w:val="24"/>
          <w:szCs w:val="24"/>
        </w:rPr>
        <w:t>s</w:t>
      </w:r>
      <w:r w:rsidRPr="00856E2A">
        <w:rPr>
          <w:rFonts w:ascii="Arial" w:hAnsi="Arial" w:cs="Arial"/>
          <w:sz w:val="24"/>
          <w:szCs w:val="24"/>
        </w:rPr>
        <w:t xml:space="preserve"> music, dance, drama and sports. </w:t>
      </w:r>
    </w:p>
    <w:p w:rsidR="00E2030F" w:rsidRPr="00856E2A" w:rsidRDefault="00E2030F" w:rsidP="00FB5A5D">
      <w:pPr>
        <w:jc w:val="both"/>
        <w:rPr>
          <w:rFonts w:ascii="Arial" w:hAnsi="Arial" w:cs="Arial"/>
          <w:b/>
          <w:sz w:val="24"/>
          <w:szCs w:val="24"/>
        </w:rPr>
      </w:pPr>
      <w:r w:rsidRPr="00856E2A">
        <w:rPr>
          <w:rFonts w:ascii="Arial" w:hAnsi="Arial" w:cs="Arial"/>
          <w:b/>
          <w:sz w:val="24"/>
          <w:szCs w:val="24"/>
        </w:rPr>
        <w:t>Presenting Author details</w:t>
      </w:r>
    </w:p>
    <w:p w:rsidR="00E2030F" w:rsidRPr="00856E2A" w:rsidRDefault="00E2030F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sz w:val="24"/>
          <w:szCs w:val="24"/>
        </w:rPr>
        <w:t>Full name : Alkananda Behera</w:t>
      </w:r>
    </w:p>
    <w:p w:rsidR="00E2030F" w:rsidRPr="00856E2A" w:rsidRDefault="00E2030F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sz w:val="24"/>
          <w:szCs w:val="24"/>
        </w:rPr>
        <w:t>Contact number : +91 7042130984</w:t>
      </w:r>
    </w:p>
    <w:p w:rsidR="00E2030F" w:rsidRPr="00856E2A" w:rsidRDefault="00E2030F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sz w:val="24"/>
          <w:szCs w:val="24"/>
        </w:rPr>
        <w:t xml:space="preserve">Email address : </w:t>
      </w:r>
      <w:hyperlink r:id="rId7" w:history="1">
        <w:r w:rsidRPr="00856E2A">
          <w:rPr>
            <w:rStyle w:val="Hyperlink"/>
            <w:rFonts w:ascii="Arial" w:hAnsi="Arial" w:cs="Arial"/>
            <w:sz w:val="24"/>
            <w:szCs w:val="24"/>
          </w:rPr>
          <w:t>alka.aiims08@gmail.com</w:t>
        </w:r>
      </w:hyperlink>
      <w:r w:rsidRPr="00856E2A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856E2A">
          <w:rPr>
            <w:rStyle w:val="Hyperlink"/>
            <w:rFonts w:ascii="Arial" w:hAnsi="Arial" w:cs="Arial"/>
            <w:sz w:val="24"/>
            <w:szCs w:val="24"/>
          </w:rPr>
          <w:t>alka9073@icloud.com</w:t>
        </w:r>
      </w:hyperlink>
    </w:p>
    <w:p w:rsidR="00E2030F" w:rsidRPr="00856E2A" w:rsidRDefault="00E2030F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sz w:val="24"/>
          <w:szCs w:val="24"/>
        </w:rPr>
        <w:t>Twitter account : @dreamer9073</w:t>
      </w:r>
    </w:p>
    <w:p w:rsidR="00CD0C38" w:rsidRPr="00B22DAF" w:rsidRDefault="00E2030F" w:rsidP="00FB5A5D">
      <w:pPr>
        <w:jc w:val="both"/>
        <w:rPr>
          <w:rFonts w:ascii="Arial" w:hAnsi="Arial" w:cs="Arial"/>
          <w:sz w:val="24"/>
          <w:szCs w:val="24"/>
        </w:rPr>
      </w:pPr>
      <w:r w:rsidRPr="00856E2A">
        <w:rPr>
          <w:rFonts w:ascii="Arial" w:hAnsi="Arial" w:cs="Arial"/>
          <w:sz w:val="24"/>
          <w:szCs w:val="24"/>
        </w:rPr>
        <w:t xml:space="preserve">Category : Oral presentation </w:t>
      </w:r>
      <w:bookmarkStart w:id="0" w:name="_GoBack"/>
      <w:bookmarkEnd w:id="0"/>
    </w:p>
    <w:sectPr w:rsidR="00CD0C38" w:rsidRPr="00B22DAF" w:rsidSect="00E000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0C3"/>
    <w:rsid w:val="0032222A"/>
    <w:rsid w:val="003F1634"/>
    <w:rsid w:val="00415401"/>
    <w:rsid w:val="00455F18"/>
    <w:rsid w:val="00643C1D"/>
    <w:rsid w:val="006944E8"/>
    <w:rsid w:val="0078787A"/>
    <w:rsid w:val="007B6007"/>
    <w:rsid w:val="00856BEA"/>
    <w:rsid w:val="00856E2A"/>
    <w:rsid w:val="008971FD"/>
    <w:rsid w:val="008C1835"/>
    <w:rsid w:val="008C3163"/>
    <w:rsid w:val="0091667D"/>
    <w:rsid w:val="00960F76"/>
    <w:rsid w:val="009A2156"/>
    <w:rsid w:val="00B22DAF"/>
    <w:rsid w:val="00B27659"/>
    <w:rsid w:val="00B40700"/>
    <w:rsid w:val="00C23822"/>
    <w:rsid w:val="00C92A79"/>
    <w:rsid w:val="00CD0C38"/>
    <w:rsid w:val="00E0000E"/>
    <w:rsid w:val="00E2030F"/>
    <w:rsid w:val="00ED5CC7"/>
    <w:rsid w:val="00F13442"/>
    <w:rsid w:val="00F655D6"/>
    <w:rsid w:val="00FB5A5D"/>
    <w:rsid w:val="00FC5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6B29B"/>
  <w15:docId w15:val="{E8A99655-4EFC-410C-AC33-8485A51B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50C3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C50C3"/>
    <w:rPr>
      <w:b/>
      <w:bCs/>
    </w:rPr>
  </w:style>
  <w:style w:type="character" w:styleId="Hyperlink">
    <w:name w:val="Hyperlink"/>
    <w:basedOn w:val="DefaultParagraphFont"/>
    <w:uiPriority w:val="99"/>
    <w:unhideWhenUsed/>
    <w:rsid w:val="00E203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ka9073@icloud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ka.aiims08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Vimi Rewari</dc:creator>
  <cp:lastModifiedBy>Alkananda Behera</cp:lastModifiedBy>
  <cp:revision>6</cp:revision>
  <dcterms:created xsi:type="dcterms:W3CDTF">2018-11-20T13:24:00Z</dcterms:created>
  <dcterms:modified xsi:type="dcterms:W3CDTF">2018-11-20T13:30:00Z</dcterms:modified>
</cp:coreProperties>
</file>