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132EAB" w:rsidRDefault="00166C6C" w:rsidP="00494130">
      <w:pPr>
        <w:pStyle w:val="1"/>
        <w:spacing w:before="170"/>
        <w:ind w:left="0"/>
        <w:rPr>
          <w:rFonts w:ascii="Arial" w:eastAsiaTheme="minorEastAsia" w:hAnsi="Arial" w:cs="Arial"/>
          <w:color w:val="0070C0"/>
          <w:sz w:val="32"/>
          <w:szCs w:val="32"/>
          <w:lang w:eastAsia="zh-TW"/>
        </w:rPr>
      </w:pPr>
      <w:r w:rsidRPr="00132EAB">
        <w:rPr>
          <w:rFonts w:ascii="Arial" w:hAnsi="Arial" w:cs="Arial"/>
          <w:bCs w:val="0"/>
          <w:color w:val="0070C0"/>
          <w:sz w:val="32"/>
          <w:szCs w:val="32"/>
        </w:rPr>
        <w:t xml:space="preserve">Patients receiving general anesthesia for surgery of </w:t>
      </w:r>
      <w:r w:rsidRPr="00132EAB">
        <w:rPr>
          <w:rFonts w:ascii="Arial" w:hAnsi="Arial" w:cs="Arial"/>
          <w:color w:val="0070C0"/>
          <w:sz w:val="32"/>
          <w:szCs w:val="32"/>
        </w:rPr>
        <w:t>intertrochanteric fracture of femur</w:t>
      </w:r>
      <w:r w:rsidRPr="00132EAB">
        <w:rPr>
          <w:rFonts w:ascii="Arial" w:hAnsi="Arial" w:cs="Arial"/>
          <w:bCs w:val="0"/>
          <w:color w:val="0070C0"/>
          <w:sz w:val="32"/>
          <w:szCs w:val="32"/>
        </w:rPr>
        <w:t xml:space="preserve"> is associated with an increased </w:t>
      </w:r>
      <w:r w:rsidRPr="00132EAB">
        <w:rPr>
          <w:rFonts w:ascii="Arial" w:hAnsi="Arial" w:cs="Arial"/>
          <w:color w:val="0070C0"/>
          <w:sz w:val="32"/>
          <w:szCs w:val="32"/>
        </w:rPr>
        <w:t>risk of venous thromboembolism</w:t>
      </w:r>
      <w:r w:rsidRPr="00132EAB">
        <w:rPr>
          <w:rFonts w:ascii="Arial" w:eastAsiaTheme="minorEastAsia" w:hAnsi="Arial" w:cs="Arial"/>
          <w:color w:val="0070C0"/>
          <w:sz w:val="32"/>
          <w:szCs w:val="32"/>
          <w:lang w:eastAsia="zh-TW"/>
        </w:rPr>
        <w:t>: A population-based study</w:t>
      </w:r>
    </w:p>
    <w:p w:rsidR="00AE3E37" w:rsidRPr="009E4955" w:rsidRDefault="009E4955" w:rsidP="00132EAB">
      <w:pPr>
        <w:pStyle w:val="a3"/>
        <w:spacing w:before="73" w:line="198" w:lineRule="exact"/>
        <w:ind w:left="100" w:right="5987"/>
        <w:rPr>
          <w:rFonts w:ascii="Arial" w:hAnsi="Arial" w:cs="Arial"/>
          <w:sz w:val="21"/>
        </w:rPr>
      </w:pPr>
      <w:r w:rsidRPr="009E4955">
        <w:rPr>
          <w:rFonts w:ascii="Arial" w:eastAsiaTheme="minorEastAsia" w:hAnsi="Arial" w:cs="Arial"/>
          <w:lang w:eastAsia="zh-TW"/>
        </w:rPr>
        <w:t>Pei-Shan Tsai, PhD,</w:t>
      </w:r>
      <w:r w:rsidR="001A1A7D">
        <w:rPr>
          <w:rFonts w:ascii="Arial" w:eastAsiaTheme="minorEastAsia" w:hAnsi="Arial" w:cs="Arial" w:hint="eastAsia"/>
          <w:lang w:eastAsia="zh-TW"/>
        </w:rPr>
        <w:t xml:space="preserve"> RN, </w:t>
      </w:r>
      <w:r w:rsidRPr="009E4955">
        <w:rPr>
          <w:rFonts w:ascii="Arial" w:eastAsiaTheme="minorEastAsia" w:hAnsi="Arial" w:cs="Arial"/>
          <w:lang w:eastAsia="zh-TW"/>
        </w:rPr>
        <w:t>Taipei Medical University, Taipei, Taiwan</w:t>
      </w:r>
    </w:p>
    <w:p w:rsidR="00AE3E37" w:rsidRPr="009E4955" w:rsidRDefault="00AE3E37">
      <w:pPr>
        <w:rPr>
          <w:rFonts w:ascii="Arial" w:hAnsi="Arial" w:cs="Arial"/>
          <w:sz w:val="21"/>
        </w:rPr>
        <w:sectPr w:rsidR="00AE3E37" w:rsidRPr="009E49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E4955" w:rsidRDefault="00A9710C">
      <w:pPr>
        <w:pStyle w:val="3"/>
        <w:spacing w:before="147"/>
        <w:jc w:val="both"/>
        <w:rPr>
          <w:rFonts w:eastAsiaTheme="minorEastAsia"/>
          <w:sz w:val="24"/>
          <w:szCs w:val="24"/>
          <w:lang w:eastAsia="zh-TW"/>
        </w:rPr>
      </w:pPr>
      <w:r w:rsidRPr="009E4955">
        <w:rPr>
          <w:color w:val="BF5A14"/>
          <w:sz w:val="24"/>
          <w:szCs w:val="24"/>
        </w:rPr>
        <w:lastRenderedPageBreak/>
        <w:t>Abstract</w:t>
      </w:r>
    </w:p>
    <w:p w:rsidR="00AE3E37" w:rsidRDefault="009E4955">
      <w:pPr>
        <w:pStyle w:val="3"/>
        <w:spacing w:before="74"/>
        <w:rPr>
          <w:rFonts w:eastAsiaTheme="minorEastAsia"/>
          <w:color w:val="BF5A14"/>
          <w:lang w:eastAsia="zh-TW"/>
        </w:rPr>
      </w:pPr>
      <w:r w:rsidRPr="009E4955">
        <w:rPr>
          <w:b w:val="0"/>
          <w:bCs w:val="0"/>
        </w:rPr>
        <w:t xml:space="preserve">This study was conducted to elucidate the </w:t>
      </w:r>
      <w:r w:rsidR="00132EAB" w:rsidRPr="009E4955">
        <w:rPr>
          <w:b w:val="0"/>
          <w:bCs w:val="0"/>
          <w:lang w:val="en-GB"/>
        </w:rPr>
        <w:t>impact</w:t>
      </w:r>
      <w:r w:rsidRPr="009E4955">
        <w:rPr>
          <w:b w:val="0"/>
          <w:bCs w:val="0"/>
          <w:lang w:val="en-GB"/>
        </w:rPr>
        <w:t xml:space="preserve"> of different </w:t>
      </w:r>
      <w:proofErr w:type="spellStart"/>
      <w:r w:rsidRPr="009E4955">
        <w:rPr>
          <w:b w:val="0"/>
          <w:bCs w:val="0"/>
          <w:lang w:val="en-GB"/>
        </w:rPr>
        <w:t>anesthetic</w:t>
      </w:r>
      <w:proofErr w:type="spellEnd"/>
      <w:r w:rsidRPr="009E4955">
        <w:rPr>
          <w:b w:val="0"/>
          <w:bCs w:val="0"/>
          <w:lang w:val="en-GB"/>
        </w:rPr>
        <w:t xml:space="preserve"> modes on the likelihood of new onset v</w:t>
      </w:r>
      <w:proofErr w:type="spellStart"/>
      <w:r w:rsidRPr="009E4955">
        <w:rPr>
          <w:b w:val="0"/>
          <w:bCs w:val="0"/>
        </w:rPr>
        <w:t>enous</w:t>
      </w:r>
      <w:proofErr w:type="spellEnd"/>
      <w:r w:rsidRPr="009E4955">
        <w:rPr>
          <w:b w:val="0"/>
          <w:bCs w:val="0"/>
        </w:rPr>
        <w:t xml:space="preserve"> thromboembolism (VTE), </w:t>
      </w:r>
      <w:r w:rsidRPr="009E4955">
        <w:rPr>
          <w:b w:val="0"/>
          <w:bCs w:val="0"/>
          <w:lang w:val="en-GB"/>
        </w:rPr>
        <w:t xml:space="preserve">including deep vein thrombosis and pulmonary embolism, within 30 days after surgery </w:t>
      </w:r>
      <w:r w:rsidRPr="009E4955">
        <w:rPr>
          <w:b w:val="0"/>
          <w:bCs w:val="0"/>
        </w:rPr>
        <w:t>in patients with intertrochanteric fracture</w:t>
      </w:r>
      <w:r w:rsidRPr="009E4955">
        <w:rPr>
          <w:b w:val="0"/>
        </w:rPr>
        <w:t xml:space="preserve"> of femur</w:t>
      </w:r>
      <w:r w:rsidRPr="009E4955">
        <w:rPr>
          <w:b w:val="0"/>
          <w:bCs w:val="0"/>
          <w:lang w:val="en-GB"/>
        </w:rPr>
        <w:t xml:space="preserve">. </w:t>
      </w:r>
      <w:r w:rsidRPr="009E4955">
        <w:rPr>
          <w:b w:val="0"/>
        </w:rPr>
        <w:t xml:space="preserve">We analyzed data retrieved from </w:t>
      </w:r>
      <w:r w:rsidRPr="009E4955">
        <w:rPr>
          <w:rFonts w:eastAsia="標楷體"/>
          <w:b w:val="0"/>
        </w:rPr>
        <w:t>Taiwan National Health Insurance Research Database</w:t>
      </w:r>
      <w:r w:rsidRPr="009E4955">
        <w:rPr>
          <w:b w:val="0"/>
        </w:rPr>
        <w:t xml:space="preserve">. Patients with </w:t>
      </w:r>
      <w:r w:rsidRPr="009E4955">
        <w:rPr>
          <w:rFonts w:eastAsia="標楷體"/>
          <w:b w:val="0"/>
        </w:rPr>
        <w:t xml:space="preserve">a primary diagnosis of unilateral intertrochanteric facture of femur were initially included. </w:t>
      </w:r>
      <w:r w:rsidRPr="009E4955">
        <w:rPr>
          <w:b w:val="0"/>
        </w:rPr>
        <w:t>Subjects with a diagnosis of multiple fractures, a history of hip fracture, a history of VTE, younger than 50 years old or missing data were excluded. As a result, a total of 1728 patients (female: n= 927; male: n=801) were included.</w:t>
      </w:r>
      <w:r w:rsidRPr="009E4955">
        <w:rPr>
          <w:b w:val="0"/>
          <w:lang w:val="en-GB"/>
        </w:rPr>
        <w:t xml:space="preserve"> </w:t>
      </w:r>
      <w:r w:rsidRPr="009E4955">
        <w:rPr>
          <w:b w:val="0"/>
          <w:bCs w:val="0"/>
          <w:lang w:val="en-GB"/>
        </w:rPr>
        <w:t xml:space="preserve">The primary endpoint </w:t>
      </w:r>
      <w:r w:rsidRPr="009E4955">
        <w:rPr>
          <w:rFonts w:eastAsia="標楷體"/>
          <w:b w:val="0"/>
          <w:lang w:val="en-GB"/>
        </w:rPr>
        <w:t>was whether a subject had been diagnosed as having a VTE within 30 days after surgery</w:t>
      </w:r>
      <w:r w:rsidRPr="009E4955">
        <w:rPr>
          <w:b w:val="0"/>
        </w:rPr>
        <w:t>. Our data revealed that comparing to patients receiving general anesthesia (</w:t>
      </w:r>
      <w:r w:rsidR="00C65887">
        <w:rPr>
          <w:rFonts w:eastAsiaTheme="minorEastAsia" w:hint="eastAsia"/>
          <w:b w:val="0"/>
          <w:lang w:eastAsia="zh-TW"/>
        </w:rPr>
        <w:t xml:space="preserve">GA group, </w:t>
      </w:r>
      <w:r w:rsidRPr="009E4955">
        <w:rPr>
          <w:b w:val="0"/>
        </w:rPr>
        <w:t>n=550), patients receiving neuraxial anesthesia (spinal or epidural) (</w:t>
      </w:r>
      <w:r w:rsidR="00C65887">
        <w:rPr>
          <w:rFonts w:eastAsiaTheme="minorEastAsia" w:hint="eastAsia"/>
          <w:b w:val="0"/>
          <w:lang w:eastAsia="zh-TW"/>
        </w:rPr>
        <w:t xml:space="preserve">NA group, </w:t>
      </w:r>
      <w:r w:rsidRPr="009E4955">
        <w:rPr>
          <w:b w:val="0"/>
        </w:rPr>
        <w:t xml:space="preserve">n=1178) were significantly older. </w:t>
      </w:r>
      <w:r w:rsidR="00516195">
        <w:rPr>
          <w:rFonts w:eastAsiaTheme="minorEastAsia" w:hint="eastAsia"/>
          <w:b w:val="0"/>
          <w:lang w:eastAsia="zh-TW"/>
        </w:rPr>
        <w:t xml:space="preserve">In </w:t>
      </w:r>
      <w:r w:rsidR="00C65887">
        <w:rPr>
          <w:rFonts w:eastAsiaTheme="minorEastAsia" w:hint="eastAsia"/>
          <w:b w:val="0"/>
          <w:lang w:eastAsia="zh-TW"/>
        </w:rPr>
        <w:t>the GA group</w:t>
      </w:r>
      <w:r w:rsidR="00516195">
        <w:rPr>
          <w:rFonts w:eastAsiaTheme="minorEastAsia" w:hint="eastAsia"/>
          <w:b w:val="0"/>
          <w:lang w:eastAsia="zh-TW"/>
        </w:rPr>
        <w:t xml:space="preserve">, the proportion of female patients was </w:t>
      </w:r>
      <w:r w:rsidR="00516195">
        <w:rPr>
          <w:rFonts w:eastAsiaTheme="minorEastAsia"/>
          <w:b w:val="0"/>
          <w:lang w:eastAsia="zh-TW"/>
        </w:rPr>
        <w:t>significantly</w:t>
      </w:r>
      <w:r w:rsidR="00516195">
        <w:rPr>
          <w:rFonts w:eastAsiaTheme="minorEastAsia" w:hint="eastAsia"/>
          <w:b w:val="0"/>
          <w:lang w:eastAsia="zh-TW"/>
        </w:rPr>
        <w:t xml:space="preserve"> higher than that of male patients</w:t>
      </w:r>
      <w:r w:rsidRPr="009E4955">
        <w:rPr>
          <w:b w:val="0"/>
        </w:rPr>
        <w:t xml:space="preserve"> (57.8% vs. </w:t>
      </w:r>
      <w:r w:rsidR="00516195">
        <w:rPr>
          <w:rFonts w:eastAsiaTheme="minorEastAsia" w:hint="eastAsia"/>
          <w:b w:val="0"/>
          <w:lang w:eastAsia="zh-TW"/>
        </w:rPr>
        <w:t>42.2</w:t>
      </w:r>
      <w:r w:rsidRPr="009E4955">
        <w:rPr>
          <w:b w:val="0"/>
        </w:rPr>
        <w:t xml:space="preserve">%, </w:t>
      </w:r>
      <w:r w:rsidRPr="009E4955">
        <w:rPr>
          <w:b w:val="0"/>
          <w:i/>
        </w:rPr>
        <w:t>P</w:t>
      </w:r>
      <w:r w:rsidRPr="009E4955">
        <w:rPr>
          <w:b w:val="0"/>
        </w:rPr>
        <w:t>=0.02)</w:t>
      </w:r>
      <w:r w:rsidR="00C65887">
        <w:rPr>
          <w:rFonts w:eastAsiaTheme="minorEastAsia" w:hint="eastAsia"/>
          <w:b w:val="0"/>
          <w:lang w:eastAsia="zh-TW"/>
        </w:rPr>
        <w:t xml:space="preserve">, whereas the </w:t>
      </w:r>
      <w:r w:rsidR="00516195">
        <w:rPr>
          <w:rFonts w:eastAsiaTheme="minorEastAsia" w:hint="eastAsia"/>
          <w:b w:val="0"/>
          <w:lang w:eastAsia="zh-TW"/>
        </w:rPr>
        <w:t xml:space="preserve">proportions of female and male patients were not </w:t>
      </w:r>
      <w:r w:rsidR="00516195">
        <w:rPr>
          <w:rFonts w:eastAsiaTheme="minorEastAsia"/>
          <w:b w:val="0"/>
          <w:lang w:eastAsia="zh-TW"/>
        </w:rPr>
        <w:t>significantly</w:t>
      </w:r>
      <w:r w:rsidR="00516195">
        <w:rPr>
          <w:rFonts w:eastAsiaTheme="minorEastAsia" w:hint="eastAsia"/>
          <w:b w:val="0"/>
          <w:lang w:eastAsia="zh-TW"/>
        </w:rPr>
        <w:t xml:space="preserve"> different</w:t>
      </w:r>
      <w:r w:rsidR="00C65887">
        <w:rPr>
          <w:rFonts w:eastAsiaTheme="minorEastAsia" w:hint="eastAsia"/>
          <w:b w:val="0"/>
          <w:lang w:eastAsia="zh-TW"/>
        </w:rPr>
        <w:t xml:space="preserve"> in the NA group. The </w:t>
      </w:r>
      <w:r w:rsidR="00C65887">
        <w:rPr>
          <w:rFonts w:eastAsiaTheme="minorEastAsia"/>
          <w:b w:val="0"/>
          <w:lang w:eastAsia="zh-TW"/>
        </w:rPr>
        <w:t>incidence</w:t>
      </w:r>
      <w:r w:rsidR="00C65887">
        <w:rPr>
          <w:rFonts w:eastAsiaTheme="minorEastAsia" w:hint="eastAsia"/>
          <w:b w:val="0"/>
          <w:lang w:eastAsia="zh-TW"/>
        </w:rPr>
        <w:t xml:space="preserve">s of VTE in the GA and the NA groups were not </w:t>
      </w:r>
      <w:r w:rsidR="00C65887">
        <w:rPr>
          <w:rFonts w:eastAsiaTheme="minorEastAsia"/>
          <w:b w:val="0"/>
          <w:lang w:eastAsia="zh-TW"/>
        </w:rPr>
        <w:t>significantly</w:t>
      </w:r>
      <w:r w:rsidR="00C65887">
        <w:rPr>
          <w:rFonts w:eastAsiaTheme="minorEastAsia" w:hint="eastAsia"/>
          <w:b w:val="0"/>
          <w:lang w:eastAsia="zh-TW"/>
        </w:rPr>
        <w:t xml:space="preserve"> different (1.5% vs. 0.5%, P=0.078).</w:t>
      </w:r>
      <w:r w:rsidRPr="009E4955">
        <w:rPr>
          <w:b w:val="0"/>
        </w:rPr>
        <w:t xml:space="preserve"> </w:t>
      </w:r>
      <w:r w:rsidR="00C65887">
        <w:rPr>
          <w:rFonts w:eastAsiaTheme="minorEastAsia" w:hint="eastAsia"/>
          <w:b w:val="0"/>
          <w:lang w:eastAsia="zh-TW"/>
        </w:rPr>
        <w:t>However, a</w:t>
      </w:r>
      <w:r w:rsidRPr="009E4955">
        <w:rPr>
          <w:b w:val="0"/>
        </w:rPr>
        <w:t xml:space="preserve">fter adjusting for prognostic factors that were significantly different between groups (i.e., age and gender), </w:t>
      </w:r>
      <w:r w:rsidRPr="009E4955">
        <w:rPr>
          <w:b w:val="0"/>
          <w:lang w:val="en-GB"/>
        </w:rPr>
        <w:t>m</w:t>
      </w:r>
      <w:r w:rsidRPr="009E4955">
        <w:rPr>
          <w:rFonts w:eastAsia="標楷體"/>
          <w:b w:val="0"/>
          <w:lang w:val="en-GB"/>
        </w:rPr>
        <w:t>ultivariable logistic regression revealed that</w:t>
      </w:r>
      <w:r w:rsidRPr="009E4955">
        <w:rPr>
          <w:rFonts w:eastAsia="標楷體"/>
          <w:b w:val="0"/>
        </w:rPr>
        <w:t xml:space="preserve"> the</w:t>
      </w:r>
      <w:r w:rsidRPr="009E4955">
        <w:rPr>
          <w:b w:val="0"/>
        </w:rPr>
        <w:t xml:space="preserve"> likelihood of </w:t>
      </w:r>
      <w:r w:rsidR="00633D2B">
        <w:rPr>
          <w:rFonts w:eastAsiaTheme="minorEastAsia" w:hint="eastAsia"/>
          <w:b w:val="0"/>
          <w:lang w:eastAsia="zh-TW"/>
        </w:rPr>
        <w:t xml:space="preserve">having </w:t>
      </w:r>
      <w:r w:rsidR="006B3F4B">
        <w:rPr>
          <w:rFonts w:eastAsiaTheme="minorEastAsia" w:hint="eastAsia"/>
          <w:b w:val="0"/>
          <w:lang w:eastAsia="zh-TW"/>
        </w:rPr>
        <w:t xml:space="preserve">30-day </w:t>
      </w:r>
      <w:r w:rsidRPr="009E4955">
        <w:rPr>
          <w:b w:val="0"/>
        </w:rPr>
        <w:t>VTE</w:t>
      </w:r>
      <w:r w:rsidR="00633D2B" w:rsidRPr="00633D2B">
        <w:rPr>
          <w:b w:val="0"/>
          <w:bCs w:val="0"/>
        </w:rPr>
        <w:t xml:space="preserve"> </w:t>
      </w:r>
      <w:r w:rsidR="00633D2B" w:rsidRPr="009E4955">
        <w:rPr>
          <w:b w:val="0"/>
          <w:bCs w:val="0"/>
        </w:rPr>
        <w:t>after surgery</w:t>
      </w:r>
      <w:r w:rsidRPr="009E4955">
        <w:rPr>
          <w:b w:val="0"/>
        </w:rPr>
        <w:t xml:space="preserve"> in </w:t>
      </w:r>
      <w:r w:rsidRPr="009E4955">
        <w:rPr>
          <w:b w:val="0"/>
          <w:lang w:val="en-GB"/>
        </w:rPr>
        <w:t xml:space="preserve">patients receiving general anaesthesia was </w:t>
      </w:r>
      <w:r w:rsidRPr="009E4955">
        <w:rPr>
          <w:rFonts w:eastAsia="標楷體"/>
          <w:b w:val="0"/>
          <w:lang w:val="en-GB"/>
        </w:rPr>
        <w:t>significantly higher than that in patients receiving neuraxial anaesthesia (odds ratio</w:t>
      </w:r>
      <w:r w:rsidRPr="009E4955">
        <w:rPr>
          <w:rFonts w:eastAsia="標楷體"/>
          <w:b w:val="0"/>
          <w:spacing w:val="-20"/>
          <w:lang w:val="en-GB"/>
        </w:rPr>
        <w:t>=</w:t>
      </w:r>
      <w:r w:rsidRPr="009E4955">
        <w:rPr>
          <w:rFonts w:eastAsia="標楷體"/>
          <w:b w:val="0"/>
          <w:lang w:val="en-GB"/>
        </w:rPr>
        <w:t xml:space="preserve">3.32, </w:t>
      </w:r>
      <w:r w:rsidRPr="009E4955">
        <w:rPr>
          <w:rFonts w:eastAsia="標楷體"/>
          <w:b w:val="0"/>
          <w:i/>
          <w:iCs/>
          <w:lang w:val="en-GB"/>
        </w:rPr>
        <w:t>P</w:t>
      </w:r>
      <w:r w:rsidRPr="009E4955">
        <w:rPr>
          <w:rFonts w:eastAsia="標楷體"/>
          <w:b w:val="0"/>
          <w:spacing w:val="-20"/>
          <w:lang w:val="en-GB"/>
        </w:rPr>
        <w:t>=</w:t>
      </w:r>
      <w:r w:rsidRPr="009E4955">
        <w:rPr>
          <w:rFonts w:eastAsia="標楷體"/>
          <w:b w:val="0"/>
          <w:lang w:val="en-GB"/>
        </w:rPr>
        <w:t>0.028</w:t>
      </w:r>
      <w:r w:rsidR="006B3F4B">
        <w:rPr>
          <w:rFonts w:eastAsia="標楷體" w:hint="eastAsia"/>
          <w:b w:val="0"/>
          <w:lang w:val="en-GB" w:eastAsia="zh-TW"/>
        </w:rPr>
        <w:t>; Table 1</w:t>
      </w:r>
      <w:r w:rsidRPr="009E4955">
        <w:rPr>
          <w:rFonts w:eastAsia="標楷體"/>
          <w:b w:val="0"/>
          <w:lang w:val="en-GB"/>
        </w:rPr>
        <w:t>). The trend remained the same after adjusting for propensity score (odds ratio</w:t>
      </w:r>
      <w:r w:rsidRPr="009E4955">
        <w:rPr>
          <w:rFonts w:eastAsia="標楷體"/>
          <w:b w:val="0"/>
          <w:spacing w:val="-20"/>
          <w:lang w:val="en-GB"/>
        </w:rPr>
        <w:t>=</w:t>
      </w:r>
      <w:r w:rsidRPr="009E4955">
        <w:rPr>
          <w:rFonts w:eastAsia="標楷體"/>
          <w:b w:val="0"/>
          <w:lang w:val="en-GB"/>
        </w:rPr>
        <w:t>3.</w:t>
      </w:r>
      <w:r w:rsidR="00516195">
        <w:rPr>
          <w:rFonts w:eastAsia="標楷體" w:hint="eastAsia"/>
          <w:b w:val="0"/>
          <w:lang w:val="en-GB" w:eastAsia="zh-TW"/>
        </w:rPr>
        <w:t>06</w:t>
      </w:r>
      <w:r w:rsidRPr="009E4955">
        <w:rPr>
          <w:rFonts w:eastAsia="標楷體"/>
          <w:b w:val="0"/>
          <w:lang w:val="en-GB"/>
        </w:rPr>
        <w:t xml:space="preserve">, </w:t>
      </w:r>
      <w:r w:rsidRPr="009E4955">
        <w:rPr>
          <w:rFonts w:eastAsia="標楷體"/>
          <w:b w:val="0"/>
          <w:i/>
          <w:iCs/>
          <w:lang w:val="en-GB"/>
        </w:rPr>
        <w:t>P</w:t>
      </w:r>
      <w:r w:rsidRPr="009E4955">
        <w:rPr>
          <w:rFonts w:eastAsia="標楷體"/>
          <w:b w:val="0"/>
          <w:spacing w:val="-20"/>
          <w:lang w:val="en-GB"/>
        </w:rPr>
        <w:t>=</w:t>
      </w:r>
      <w:r w:rsidRPr="009E4955">
        <w:rPr>
          <w:rFonts w:eastAsia="標楷體"/>
          <w:b w:val="0"/>
          <w:lang w:val="en-GB"/>
        </w:rPr>
        <w:t>0.0</w:t>
      </w:r>
      <w:r w:rsidR="00633D2B">
        <w:rPr>
          <w:rFonts w:eastAsia="標楷體" w:hint="eastAsia"/>
          <w:b w:val="0"/>
          <w:lang w:val="en-GB" w:eastAsia="zh-TW"/>
        </w:rPr>
        <w:t>42</w:t>
      </w:r>
      <w:r w:rsidR="006B3F4B">
        <w:rPr>
          <w:rFonts w:eastAsia="標楷體" w:hint="eastAsia"/>
          <w:b w:val="0"/>
          <w:lang w:val="en-GB" w:eastAsia="zh-TW"/>
        </w:rPr>
        <w:t>; Table 1</w:t>
      </w:r>
      <w:r w:rsidRPr="009E4955">
        <w:rPr>
          <w:rFonts w:eastAsia="標楷體"/>
          <w:b w:val="0"/>
          <w:lang w:val="en-GB"/>
        </w:rPr>
        <w:t xml:space="preserve">). </w:t>
      </w:r>
      <w:r w:rsidR="001A1A7D">
        <w:rPr>
          <w:rFonts w:eastAsia="標楷體" w:hint="eastAsia"/>
          <w:b w:val="0"/>
          <w:lang w:val="en-GB" w:eastAsia="zh-TW"/>
        </w:rPr>
        <w:t>I</w:t>
      </w:r>
      <w:r w:rsidRPr="009E4955">
        <w:rPr>
          <w:rFonts w:eastAsia="標楷體"/>
          <w:b w:val="0"/>
          <w:lang w:val="en-GB"/>
        </w:rPr>
        <w:t xml:space="preserve"> thus concluded that </w:t>
      </w:r>
      <w:r w:rsidRPr="009E4955">
        <w:rPr>
          <w:b w:val="0"/>
          <w:bCs w:val="0"/>
        </w:rPr>
        <w:t>patients receiving</w:t>
      </w:r>
      <w:r w:rsidRPr="009E4955">
        <w:rPr>
          <w:b w:val="0"/>
        </w:rPr>
        <w:t xml:space="preserve"> general anesthesia for surgery of intertrochanteric fracture of femur was </w:t>
      </w:r>
      <w:r w:rsidR="00633D2B">
        <w:rPr>
          <w:rFonts w:eastAsiaTheme="minorEastAsia" w:hint="eastAsia"/>
          <w:b w:val="0"/>
          <w:lang w:eastAsia="zh-TW"/>
        </w:rPr>
        <w:t xml:space="preserve">associated with an increased risk of </w:t>
      </w:r>
      <w:r w:rsidR="006B3F4B">
        <w:rPr>
          <w:rFonts w:eastAsiaTheme="minorEastAsia" w:hint="eastAsia"/>
          <w:b w:val="0"/>
          <w:lang w:eastAsia="zh-TW"/>
        </w:rPr>
        <w:t xml:space="preserve">having 30-day </w:t>
      </w:r>
      <w:r w:rsidRPr="009E4955">
        <w:rPr>
          <w:b w:val="0"/>
        </w:rPr>
        <w:t>VTE than patients receiving spinal or epidural anesthesia</w:t>
      </w:r>
      <w:r w:rsidR="00132EAB">
        <w:rPr>
          <w:rFonts w:eastAsiaTheme="minorEastAsia" w:hint="eastAsia"/>
          <w:b w:val="0"/>
          <w:lang w:eastAsia="zh-TW"/>
        </w:rPr>
        <w:t>.</w:t>
      </w:r>
      <w:r w:rsidR="00A9710C">
        <w:rPr>
          <w:b w:val="0"/>
        </w:rPr>
        <w:br w:type="column"/>
      </w:r>
      <w:r w:rsidR="00633D2B">
        <w:rPr>
          <w:rFonts w:eastAsiaTheme="minorEastAsia" w:hint="eastAsia"/>
          <w:color w:val="BF5A14"/>
          <w:lang w:eastAsia="zh-TW"/>
        </w:rPr>
        <w:lastRenderedPageBreak/>
        <w:t>Tables</w:t>
      </w:r>
    </w:p>
    <w:p w:rsidR="00633D2B" w:rsidRPr="00633D2B" w:rsidRDefault="006B3F4B">
      <w:pPr>
        <w:pStyle w:val="3"/>
        <w:spacing w:before="74"/>
        <w:rPr>
          <w:rFonts w:eastAsiaTheme="minorEastAsia"/>
          <w:lang w:eastAsia="zh-TW"/>
        </w:rPr>
      </w:pPr>
      <w:r>
        <w:rPr>
          <w:rFonts w:eastAsiaTheme="minorEastAsia" w:hint="eastAsia"/>
          <w:noProof/>
          <w:lang w:val="en-GB" w:eastAsia="zh-TW"/>
        </w:rPr>
        <w:drawing>
          <wp:inline distT="0" distB="0" distL="0" distR="0">
            <wp:extent cx="3165475" cy="2672715"/>
            <wp:effectExtent l="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 1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67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1B1EEE" w:rsidRPr="001B1EEE" w:rsidRDefault="006B3F4B" w:rsidP="001B1EEE">
      <w:pPr>
        <w:pStyle w:val="1"/>
        <w:numPr>
          <w:ilvl w:val="0"/>
          <w:numId w:val="3"/>
        </w:numPr>
        <w:shd w:val="clear" w:color="auto" w:fill="FFFFFF"/>
        <w:spacing w:before="0" w:line="270" w:lineRule="atLeast"/>
        <w:rPr>
          <w:rFonts w:ascii="Arial" w:hAnsi="Arial" w:cs="Arial"/>
          <w:b w:val="0"/>
          <w:color w:val="000000"/>
          <w:sz w:val="20"/>
          <w:szCs w:val="20"/>
        </w:rPr>
      </w:pPr>
      <w:proofErr w:type="spellStart"/>
      <w:r w:rsidRPr="006B3F4B">
        <w:rPr>
          <w:rFonts w:ascii="Arial" w:hAnsi="Arial" w:cs="Arial"/>
          <w:b w:val="0"/>
          <w:color w:val="000000"/>
          <w:sz w:val="20"/>
          <w:szCs w:val="20"/>
        </w:rPr>
        <w:t>Hitos</w:t>
      </w:r>
      <w:proofErr w:type="spellEnd"/>
      <w:r w:rsidRPr="006B3F4B">
        <w:rPr>
          <w:rFonts w:ascii="Arial" w:hAnsi="Arial" w:cs="Arial"/>
          <w:b w:val="0"/>
          <w:color w:val="000000"/>
          <w:sz w:val="20"/>
          <w:szCs w:val="20"/>
        </w:rPr>
        <w:t xml:space="preserve"> K, Fletcher JP</w:t>
      </w:r>
      <w:r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(</w:t>
      </w:r>
      <w:r w:rsidRPr="006B3F4B">
        <w:rPr>
          <w:rFonts w:ascii="Arial" w:hAnsi="Arial" w:cs="Arial"/>
          <w:b w:val="0"/>
          <w:color w:val="000000"/>
          <w:sz w:val="20"/>
          <w:szCs w:val="20"/>
        </w:rPr>
        <w:t>2005</w:t>
      </w:r>
      <w:r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>)</w:t>
      </w:r>
      <w:r w:rsidRPr="006B3F4B">
        <w:rPr>
          <w:rFonts w:ascii="Arial" w:hAnsi="Arial" w:cs="Arial"/>
          <w:b w:val="0"/>
          <w:color w:val="000000"/>
          <w:sz w:val="20"/>
          <w:szCs w:val="20"/>
        </w:rPr>
        <w:t xml:space="preserve"> </w:t>
      </w:r>
      <w:proofErr w:type="gramStart"/>
      <w:r w:rsidRPr="006B3F4B">
        <w:rPr>
          <w:rStyle w:val="highlight"/>
          <w:rFonts w:ascii="Arial" w:hAnsi="Arial" w:cs="Arial"/>
          <w:b w:val="0"/>
          <w:color w:val="000000"/>
          <w:sz w:val="20"/>
          <w:szCs w:val="20"/>
        </w:rPr>
        <w:t>Venous</w:t>
      </w:r>
      <w:proofErr w:type="gramEnd"/>
      <w:r w:rsidRPr="006B3F4B">
        <w:rPr>
          <w:rStyle w:val="highlight"/>
          <w:rFonts w:ascii="Arial" w:hAnsi="Arial" w:cs="Arial"/>
          <w:b w:val="0"/>
          <w:color w:val="000000"/>
          <w:sz w:val="20"/>
          <w:szCs w:val="20"/>
        </w:rPr>
        <w:t xml:space="preserve"> thromboembolism</w:t>
      </w:r>
      <w:r w:rsidRPr="006B3F4B">
        <w:rPr>
          <w:rStyle w:val="apple-converted-space"/>
          <w:rFonts w:ascii="Arial" w:hAnsi="Arial" w:cs="Arial"/>
          <w:b w:val="0"/>
          <w:color w:val="000000"/>
          <w:sz w:val="20"/>
          <w:szCs w:val="20"/>
        </w:rPr>
        <w:t> </w:t>
      </w:r>
      <w:r w:rsidRPr="006B3F4B">
        <w:rPr>
          <w:rFonts w:ascii="Arial" w:hAnsi="Arial" w:cs="Arial"/>
          <w:b w:val="0"/>
          <w:color w:val="000000"/>
          <w:sz w:val="20"/>
          <w:szCs w:val="20"/>
        </w:rPr>
        <w:t>and fractured neck of</w:t>
      </w:r>
      <w:r w:rsidRPr="006B3F4B">
        <w:rPr>
          <w:rStyle w:val="apple-converted-space"/>
          <w:rFonts w:ascii="Arial" w:hAnsi="Arial" w:cs="Arial"/>
          <w:b w:val="0"/>
          <w:color w:val="000000"/>
          <w:sz w:val="20"/>
          <w:szCs w:val="20"/>
        </w:rPr>
        <w:t> </w:t>
      </w:r>
      <w:r w:rsidRPr="006B3F4B">
        <w:rPr>
          <w:rStyle w:val="highlight"/>
          <w:rFonts w:ascii="Arial" w:hAnsi="Arial" w:cs="Arial"/>
          <w:b w:val="0"/>
          <w:color w:val="000000"/>
          <w:sz w:val="20"/>
          <w:szCs w:val="20"/>
        </w:rPr>
        <w:t>femur</w:t>
      </w:r>
      <w:r w:rsidRPr="006B3F4B">
        <w:rPr>
          <w:rFonts w:ascii="Arial" w:hAnsi="Arial" w:cs="Arial"/>
          <w:b w:val="0"/>
          <w:color w:val="000000"/>
          <w:sz w:val="20"/>
          <w:szCs w:val="20"/>
        </w:rPr>
        <w:t>.</w:t>
      </w:r>
      <w:r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proofErr w:type="spellStart"/>
      <w:r w:rsidRPr="006B3F4B">
        <w:rPr>
          <w:rStyle w:val="jrnl"/>
          <w:rFonts w:ascii="Arial" w:hAnsi="Arial" w:cs="Arial"/>
          <w:b w:val="0"/>
          <w:color w:val="000000"/>
          <w:sz w:val="20"/>
          <w:szCs w:val="20"/>
        </w:rPr>
        <w:t>Thromb</w:t>
      </w:r>
      <w:proofErr w:type="spellEnd"/>
      <w:r w:rsidRPr="006B3F4B">
        <w:rPr>
          <w:rStyle w:val="jrnl"/>
          <w:rFonts w:ascii="Arial" w:hAnsi="Arial" w:cs="Arial"/>
          <w:b w:val="0"/>
          <w:color w:val="000000"/>
          <w:sz w:val="20"/>
          <w:szCs w:val="20"/>
        </w:rPr>
        <w:t xml:space="preserve"> </w:t>
      </w:r>
      <w:proofErr w:type="spellStart"/>
      <w:r w:rsidRPr="006B3F4B">
        <w:rPr>
          <w:rStyle w:val="jrnl"/>
          <w:rFonts w:ascii="Arial" w:hAnsi="Arial" w:cs="Arial"/>
          <w:b w:val="0"/>
          <w:color w:val="000000"/>
          <w:sz w:val="20"/>
          <w:szCs w:val="20"/>
        </w:rPr>
        <w:t>Haemost</w:t>
      </w:r>
      <w:proofErr w:type="spellEnd"/>
      <w:r w:rsidRPr="006B3F4B">
        <w:rPr>
          <w:rFonts w:ascii="Arial" w:hAnsi="Arial" w:cs="Arial"/>
          <w:b w:val="0"/>
          <w:color w:val="000000"/>
          <w:sz w:val="20"/>
          <w:szCs w:val="20"/>
        </w:rPr>
        <w:t>.</w:t>
      </w:r>
      <w:r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r w:rsidRPr="006B3F4B">
        <w:rPr>
          <w:rFonts w:ascii="Arial" w:hAnsi="Arial" w:cs="Arial"/>
          <w:b w:val="0"/>
          <w:color w:val="000000"/>
          <w:sz w:val="20"/>
          <w:szCs w:val="20"/>
        </w:rPr>
        <w:t>94:991-</w:t>
      </w:r>
      <w:r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>99</w:t>
      </w:r>
      <w:r w:rsidRPr="006B3F4B">
        <w:rPr>
          <w:rFonts w:ascii="Arial" w:hAnsi="Arial" w:cs="Arial"/>
          <w:b w:val="0"/>
          <w:color w:val="000000"/>
          <w:sz w:val="20"/>
          <w:szCs w:val="20"/>
        </w:rPr>
        <w:t>6</w:t>
      </w:r>
    </w:p>
    <w:p w:rsidR="001B1EEE" w:rsidRPr="001B1EEE" w:rsidRDefault="006B3F4B" w:rsidP="001B1EEE">
      <w:pPr>
        <w:pStyle w:val="1"/>
        <w:numPr>
          <w:ilvl w:val="0"/>
          <w:numId w:val="3"/>
        </w:numPr>
        <w:shd w:val="clear" w:color="auto" w:fill="FFFFFF"/>
        <w:spacing w:before="0" w:line="270" w:lineRule="atLeast"/>
        <w:rPr>
          <w:rFonts w:ascii="Arial" w:hAnsi="Arial" w:cs="Arial"/>
          <w:b w:val="0"/>
          <w:color w:val="000000"/>
          <w:sz w:val="20"/>
          <w:szCs w:val="20"/>
        </w:rPr>
      </w:pP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Carpintero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P,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Caeiro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JR,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Carpintero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R, Morales A, Silva S, Mesa M</w:t>
      </w:r>
      <w:r w:rsidR="001B1EEE"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(2014) </w:t>
      </w:r>
      <w:r w:rsidR="001B1EEE" w:rsidRPr="001B1EEE">
        <w:rPr>
          <w:rFonts w:ascii="Arial" w:hAnsi="Arial" w:cs="Arial"/>
          <w:b w:val="0"/>
          <w:color w:val="000000"/>
          <w:sz w:val="20"/>
          <w:szCs w:val="20"/>
        </w:rPr>
        <w:t>Complications of hip</w:t>
      </w:r>
      <w:r w:rsidR="001B1EEE" w:rsidRPr="001B1EEE">
        <w:rPr>
          <w:rStyle w:val="apple-converted-space"/>
          <w:rFonts w:ascii="Arial" w:hAnsi="Arial" w:cs="Arial"/>
          <w:b w:val="0"/>
          <w:color w:val="000000"/>
          <w:sz w:val="20"/>
          <w:szCs w:val="20"/>
        </w:rPr>
        <w:t> </w:t>
      </w:r>
      <w:r w:rsidR="001B1EEE" w:rsidRPr="001B1EEE">
        <w:rPr>
          <w:rStyle w:val="highlight"/>
          <w:rFonts w:ascii="Arial" w:hAnsi="Arial" w:cs="Arial"/>
          <w:b w:val="0"/>
          <w:color w:val="000000"/>
          <w:sz w:val="20"/>
          <w:szCs w:val="20"/>
        </w:rPr>
        <w:t>fractures</w:t>
      </w:r>
      <w:r w:rsidR="001B1EEE" w:rsidRPr="001B1EEE">
        <w:rPr>
          <w:rFonts w:ascii="Arial" w:hAnsi="Arial" w:cs="Arial"/>
          <w:b w:val="0"/>
          <w:color w:val="000000"/>
          <w:sz w:val="20"/>
          <w:szCs w:val="20"/>
        </w:rPr>
        <w:t>: A review.</w:t>
      </w:r>
      <w:r w:rsidR="001B1EEE"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proofErr w:type="gramStart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 xml:space="preserve">World J </w:t>
      </w:r>
      <w:proofErr w:type="spellStart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>Orthop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>.</w:t>
      </w:r>
      <w:proofErr w:type="gramEnd"/>
      <w:r w:rsidR="001B1EEE"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5:402-</w:t>
      </w:r>
      <w:r w:rsidR="001B1EEE"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>4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11.</w:t>
      </w:r>
    </w:p>
    <w:p w:rsidR="001B1EEE" w:rsidRPr="001B1EEE" w:rsidRDefault="001B1EEE" w:rsidP="001B1EEE">
      <w:pPr>
        <w:pStyle w:val="1"/>
        <w:numPr>
          <w:ilvl w:val="0"/>
          <w:numId w:val="3"/>
        </w:numPr>
        <w:shd w:val="clear" w:color="auto" w:fill="FFFFFF"/>
        <w:spacing w:before="0" w:line="270" w:lineRule="atLeast"/>
        <w:rPr>
          <w:rFonts w:ascii="Arial" w:hAnsi="Arial" w:cs="Arial"/>
          <w:b w:val="0"/>
          <w:color w:val="000000"/>
          <w:sz w:val="20"/>
          <w:szCs w:val="20"/>
        </w:rPr>
      </w:pP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Benns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M, Reilly P, Kim P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(2014)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</w:rPr>
        <w:t xml:space="preserve"> </w:t>
      </w:r>
      <w:proofErr w:type="gramStart"/>
      <w:r w:rsidRPr="001B1EEE">
        <w:rPr>
          <w:rFonts w:ascii="Arial" w:hAnsi="Arial" w:cs="Arial"/>
          <w:b w:val="0"/>
          <w:color w:val="000000"/>
          <w:sz w:val="20"/>
          <w:szCs w:val="20"/>
        </w:rPr>
        <w:t>Early</w:t>
      </w:r>
      <w:proofErr w:type="gram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pulmonary embolism after injury: a different clinical entity?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proofErr w:type="gramStart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>Injury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.</w:t>
      </w:r>
      <w:proofErr w:type="gram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45:241-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>24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4.</w:t>
      </w:r>
    </w:p>
    <w:p w:rsidR="001B1EEE" w:rsidRPr="001B1EEE" w:rsidRDefault="001B1EEE" w:rsidP="001B1EEE">
      <w:pPr>
        <w:pStyle w:val="1"/>
        <w:numPr>
          <w:ilvl w:val="0"/>
          <w:numId w:val="3"/>
        </w:numPr>
        <w:shd w:val="clear" w:color="auto" w:fill="FFFFFF"/>
        <w:spacing w:before="0" w:line="270" w:lineRule="atLeast"/>
        <w:rPr>
          <w:rFonts w:ascii="Arial" w:hAnsi="Arial" w:cs="Arial"/>
          <w:b w:val="0"/>
          <w:color w:val="000000"/>
          <w:sz w:val="20"/>
          <w:szCs w:val="20"/>
        </w:rPr>
      </w:pPr>
      <w:proofErr w:type="gramStart"/>
      <w:r w:rsidRPr="001B1EEE">
        <w:rPr>
          <w:rFonts w:ascii="Arial" w:hAnsi="Arial" w:cs="Arial"/>
          <w:b w:val="0"/>
          <w:color w:val="000000"/>
          <w:sz w:val="20"/>
          <w:szCs w:val="20"/>
        </w:rPr>
        <w:t>Fernandez MA, Griffin XL, Costa ML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(2015)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.</w:t>
      </w:r>
      <w:proofErr w:type="gram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</w:t>
      </w:r>
      <w:proofErr w:type="gramStart"/>
      <w:r w:rsidRPr="001B1EEE">
        <w:rPr>
          <w:rFonts w:ascii="Arial" w:hAnsi="Arial" w:cs="Arial"/>
          <w:b w:val="0"/>
          <w:color w:val="000000"/>
          <w:sz w:val="20"/>
          <w:szCs w:val="20"/>
        </w:rPr>
        <w:t>Management of hip</w:t>
      </w:r>
      <w:r w:rsidRPr="001B1EEE">
        <w:rPr>
          <w:rStyle w:val="apple-converted-space"/>
          <w:rFonts w:ascii="Arial" w:hAnsi="Arial" w:cs="Arial"/>
          <w:b w:val="0"/>
          <w:color w:val="000000"/>
          <w:sz w:val="20"/>
          <w:szCs w:val="20"/>
        </w:rPr>
        <w:t> </w:t>
      </w:r>
      <w:r w:rsidRPr="001B1EEE">
        <w:rPr>
          <w:rStyle w:val="highlight"/>
          <w:rFonts w:ascii="Arial" w:hAnsi="Arial" w:cs="Arial"/>
          <w:b w:val="0"/>
          <w:color w:val="000000"/>
          <w:sz w:val="20"/>
          <w:szCs w:val="20"/>
        </w:rPr>
        <w:t>fracture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.</w:t>
      </w:r>
      <w:proofErr w:type="gramEnd"/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>Br Med Bull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.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115:165-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>1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72.</w:t>
      </w:r>
    </w:p>
    <w:p w:rsidR="00AE3E37" w:rsidRPr="001B1EEE" w:rsidRDefault="001B1EEE" w:rsidP="001B1EEE">
      <w:pPr>
        <w:pStyle w:val="1"/>
        <w:numPr>
          <w:ilvl w:val="0"/>
          <w:numId w:val="3"/>
        </w:numPr>
        <w:shd w:val="clear" w:color="auto" w:fill="FFFFFF"/>
        <w:spacing w:before="0" w:line="270" w:lineRule="atLeast"/>
        <w:rPr>
          <w:rFonts w:ascii="Arial" w:hAnsi="Arial" w:cs="Arial"/>
          <w:b w:val="0"/>
          <w:color w:val="000000"/>
          <w:sz w:val="20"/>
          <w:szCs w:val="20"/>
        </w:rPr>
        <w:sectPr w:rsidR="00AE3E37" w:rsidRPr="001B1EE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Prandoni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P,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Sabbion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P,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Tanduo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C,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Errigo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G,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Zanon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E, </w:t>
      </w:r>
      <w:proofErr w:type="spellStart"/>
      <w:r w:rsidRPr="001B1EEE">
        <w:rPr>
          <w:rFonts w:ascii="Arial" w:hAnsi="Arial" w:cs="Arial"/>
          <w:b w:val="0"/>
          <w:color w:val="000000"/>
          <w:sz w:val="20"/>
          <w:szCs w:val="20"/>
        </w:rPr>
        <w:t>Bernardi</w:t>
      </w:r>
      <w:proofErr w:type="spellEnd"/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E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(2001)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 xml:space="preserve"> Prevention of</w:t>
      </w:r>
      <w:r w:rsidRPr="001B1EEE">
        <w:rPr>
          <w:rStyle w:val="apple-converted-space"/>
          <w:rFonts w:ascii="Arial" w:hAnsi="Arial" w:cs="Arial"/>
          <w:b w:val="0"/>
          <w:color w:val="000000"/>
          <w:sz w:val="20"/>
          <w:szCs w:val="20"/>
        </w:rPr>
        <w:t> </w:t>
      </w:r>
      <w:r w:rsidRPr="001B1EEE">
        <w:rPr>
          <w:rStyle w:val="highlight"/>
          <w:rFonts w:ascii="Arial" w:hAnsi="Arial" w:cs="Arial"/>
          <w:b w:val="0"/>
          <w:color w:val="000000"/>
          <w:sz w:val="20"/>
          <w:szCs w:val="20"/>
        </w:rPr>
        <w:t>venous thromboembolism</w:t>
      </w:r>
      <w:r w:rsidRPr="001B1EEE">
        <w:rPr>
          <w:rStyle w:val="apple-converted-space"/>
          <w:rFonts w:ascii="Arial" w:hAnsi="Arial" w:cs="Arial"/>
          <w:b w:val="0"/>
          <w:color w:val="000000"/>
          <w:sz w:val="20"/>
          <w:szCs w:val="20"/>
        </w:rPr>
        <w:t> 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in high-risk surgical and medical patients.</w:t>
      </w:r>
      <w:r w:rsidRPr="001B1EEE">
        <w:rPr>
          <w:rFonts w:ascii="Arial" w:eastAsiaTheme="minorEastAsia" w:hAnsi="Arial" w:cs="Arial" w:hint="eastAsia"/>
          <w:b w:val="0"/>
          <w:color w:val="000000"/>
          <w:sz w:val="20"/>
          <w:szCs w:val="20"/>
          <w:lang w:eastAsia="zh-TW"/>
        </w:rPr>
        <w:t xml:space="preserve"> </w:t>
      </w:r>
      <w:proofErr w:type="spellStart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>Semin</w:t>
      </w:r>
      <w:proofErr w:type="spellEnd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 xml:space="preserve"> </w:t>
      </w:r>
      <w:proofErr w:type="spellStart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>Vasc</w:t>
      </w:r>
      <w:proofErr w:type="spellEnd"/>
      <w:r w:rsidRPr="001B1EEE">
        <w:rPr>
          <w:rStyle w:val="jrnl"/>
          <w:rFonts w:ascii="Arial" w:hAnsi="Arial" w:cs="Arial"/>
          <w:b w:val="0"/>
          <w:color w:val="000000"/>
          <w:sz w:val="20"/>
          <w:szCs w:val="20"/>
        </w:rPr>
        <w:t xml:space="preserve"> Med</w:t>
      </w:r>
      <w:r w:rsidRPr="001B1EEE">
        <w:rPr>
          <w:rFonts w:ascii="Arial" w:hAnsi="Arial" w:cs="Arial"/>
          <w:b w:val="0"/>
          <w:color w:val="000000"/>
          <w:sz w:val="20"/>
          <w:szCs w:val="20"/>
        </w:rPr>
        <w:t>. 1:61-70.</w:t>
      </w:r>
      <w:r w:rsidR="008756E6" w:rsidRPr="001B1EEE"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F1A70">
        <w:object w:dxaOrig="12957" w:dyaOrig="107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1.5pt" o:ole="">
            <v:imagedata r:id="rId11" o:title=""/>
          </v:shape>
          <o:OLEObject Type="Embed" ProgID="Unknown" ShapeID="_x0000_i1025" DrawAspect="Content" ObjectID="_1550315417" r:id="rId12"/>
        </w:objec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F3470" w:rsidRPr="00EF3470" w:rsidRDefault="00EF3470">
      <w:pPr>
        <w:spacing w:before="41" w:line="154" w:lineRule="exact"/>
        <w:ind w:left="213" w:right="231"/>
        <w:jc w:val="both"/>
        <w:rPr>
          <w:rFonts w:ascii="Arial" w:eastAsiaTheme="minorEastAsia" w:hAnsi="Arial" w:cs="Arial"/>
          <w:sz w:val="16"/>
          <w:szCs w:val="16"/>
          <w:lang w:eastAsia="zh-TW"/>
        </w:rPr>
      </w:pPr>
      <w:r w:rsidRPr="00EF3470">
        <w:rPr>
          <w:rStyle w:val="ad"/>
          <w:rFonts w:ascii="Arial" w:hAnsi="Arial" w:cs="Arial"/>
          <w:color w:val="444444"/>
          <w:sz w:val="16"/>
          <w:szCs w:val="16"/>
          <w:shd w:val="clear" w:color="auto" w:fill="FFFFFF"/>
        </w:rPr>
        <w:t>Pei-Shan Tsai,</w:t>
      </w:r>
      <w:r w:rsidR="001A1A7D">
        <w:rPr>
          <w:rStyle w:val="ad"/>
          <w:rFonts w:ascii="Arial" w:eastAsiaTheme="minorEastAsia" w:hAnsi="Arial" w:cs="Arial" w:hint="eastAsia"/>
          <w:color w:val="444444"/>
          <w:sz w:val="16"/>
          <w:szCs w:val="16"/>
          <w:shd w:val="clear" w:color="auto" w:fill="FFFFFF"/>
          <w:lang w:eastAsia="zh-TW"/>
        </w:rPr>
        <w:t xml:space="preserve"> </w:t>
      </w:r>
      <w:r w:rsidRPr="00EF3470">
        <w:rPr>
          <w:rFonts w:ascii="Arial" w:hAnsi="Arial" w:cs="Arial"/>
          <w:color w:val="444444"/>
          <w:sz w:val="16"/>
          <w:szCs w:val="16"/>
          <w:shd w:val="clear" w:color="auto" w:fill="FFFFFF"/>
        </w:rPr>
        <w:t>a distinguished professor and associate dean at Taipei Medical University College of Nursing in Taiwan, focuses her research on the link between stress</w:t>
      </w:r>
      <w:r w:rsidRPr="00EF3470">
        <w:rPr>
          <w:rFonts w:ascii="Cambria Math" w:hAnsi="Cambria Math" w:cs="Cambria Math"/>
          <w:color w:val="444444"/>
          <w:sz w:val="16"/>
          <w:szCs w:val="16"/>
          <w:shd w:val="clear" w:color="auto" w:fill="FFFFFF"/>
        </w:rPr>
        <w:t>‐</w:t>
      </w:r>
      <w:r w:rsidRPr="00EF3470">
        <w:rPr>
          <w:rFonts w:ascii="Arial" w:hAnsi="Arial" w:cs="Arial"/>
          <w:color w:val="444444"/>
          <w:sz w:val="16"/>
          <w:szCs w:val="16"/>
          <w:shd w:val="clear" w:color="auto" w:fill="FFFFFF"/>
        </w:rPr>
        <w:t>response systems and chronic illnesses and outcomes of nursing care of patients with stress</w:t>
      </w:r>
      <w:r w:rsidRPr="00EF3470">
        <w:rPr>
          <w:rFonts w:ascii="Cambria Math" w:hAnsi="Cambria Math" w:cs="Cambria Math"/>
          <w:color w:val="444444"/>
          <w:sz w:val="16"/>
          <w:szCs w:val="16"/>
          <w:shd w:val="clear" w:color="auto" w:fill="FFFFFF"/>
        </w:rPr>
        <w:t>‐</w:t>
      </w:r>
      <w:r w:rsidRPr="00EF3470">
        <w:rPr>
          <w:rFonts w:ascii="Arial" w:hAnsi="Arial" w:cs="Arial"/>
          <w:color w:val="444444"/>
          <w:sz w:val="16"/>
          <w:szCs w:val="16"/>
          <w:shd w:val="clear" w:color="auto" w:fill="FFFFFF"/>
        </w:rPr>
        <w:t>related illnesses.</w:t>
      </w:r>
      <w:r w:rsidRPr="00EF3470">
        <w:rPr>
          <w:rFonts w:ascii="Arial" w:eastAsiaTheme="minorEastAsia" w:hAnsi="Arial" w:cs="Arial"/>
          <w:color w:val="444444"/>
          <w:sz w:val="16"/>
          <w:szCs w:val="16"/>
          <w:shd w:val="clear" w:color="auto" w:fill="FFFFFF"/>
          <w:lang w:eastAsia="zh-TW"/>
        </w:rPr>
        <w:t xml:space="preserve"> </w:t>
      </w:r>
      <w:r w:rsidRPr="00EF3470">
        <w:rPr>
          <w:rFonts w:ascii="Arial" w:hAnsi="Arial" w:cs="Arial"/>
          <w:color w:val="444444"/>
          <w:sz w:val="16"/>
          <w:szCs w:val="16"/>
          <w:shd w:val="clear" w:color="auto" w:fill="FFFFFF"/>
        </w:rPr>
        <w:t>Tsai’s expertise includes using both physiological and behavioral measures in research for understanding the mechanisms and efficacy of nursing interventions. She also plays a vital role in demonstrating important health factors, disease prevalence, and health care effectiveness in the general population in Taiwan through secondary analysis of health data.</w:t>
      </w:r>
      <w:r w:rsidRPr="00EF3470">
        <w:rPr>
          <w:rFonts w:ascii="Arial" w:eastAsiaTheme="minorEastAsia" w:hAnsi="Arial" w:cs="Arial" w:hint="eastAsia"/>
          <w:color w:val="444444"/>
          <w:sz w:val="16"/>
          <w:szCs w:val="16"/>
          <w:shd w:val="clear" w:color="auto" w:fill="FFFFFF"/>
          <w:lang w:eastAsia="zh-TW"/>
        </w:rPr>
        <w:t xml:space="preserve"> </w:t>
      </w:r>
      <w:r w:rsidRPr="00EF3470">
        <w:rPr>
          <w:rFonts w:ascii="Arial" w:hAnsi="Arial" w:cs="Arial"/>
          <w:color w:val="444444"/>
          <w:sz w:val="16"/>
          <w:szCs w:val="16"/>
          <w:shd w:val="clear" w:color="auto" w:fill="FFFFFF"/>
        </w:rPr>
        <w:t>Tsai is a collaborator noted for bringing researchers from different fields together to collaborate on research projects that have important clinical and policymaking implications. To date, she has published more than 150 peer-reviewed articles in medical, psychology, and nursing journals, many of which have received a high number of citations from journal articles. </w:t>
      </w:r>
    </w:p>
    <w:p w:rsidR="00AE3E37" w:rsidRPr="00EF3470" w:rsidRDefault="00A9710C" w:rsidP="002F1A70">
      <w:pPr>
        <w:spacing w:before="62"/>
        <w:ind w:left="4217" w:right="4235"/>
        <w:jc w:val="center"/>
        <w:rPr>
          <w:rFonts w:ascii="Minion Pro" w:eastAsiaTheme="minorEastAsia"/>
          <w:sz w:val="24"/>
          <w:lang w:eastAsia="zh-TW"/>
        </w:rPr>
        <w:sectPr w:rsidR="00AE3E37" w:rsidRPr="00EF34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F3470">
        <w:rPr>
          <w:rFonts w:ascii="Arial"/>
          <w:sz w:val="16"/>
          <w:szCs w:val="16"/>
        </w:rPr>
        <w:t xml:space="preserve">Email: </w:t>
      </w:r>
      <w:hyperlink r:id="rId13" w:history="1">
        <w:r w:rsidR="00EF3470" w:rsidRPr="00EF3470">
          <w:rPr>
            <w:rStyle w:val="ac"/>
            <w:rFonts w:ascii="Arial" w:eastAsiaTheme="minorEastAsia" w:hint="eastAsia"/>
            <w:sz w:val="16"/>
            <w:szCs w:val="16"/>
            <w:lang w:eastAsia="zh-TW"/>
          </w:rPr>
          <w:t>ptsai@tmu.edu.tw</w:t>
        </w:r>
      </w:hyperlink>
      <w:bookmarkStart w:id="0" w:name="_GoBack"/>
      <w:bookmarkEnd w:id="0"/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003" w:rsidRDefault="00E82003">
      <w:r>
        <w:separator/>
      </w:r>
    </w:p>
  </w:endnote>
  <w:endnote w:type="continuationSeparator" w:id="0">
    <w:p w:rsidR="00E82003" w:rsidRDefault="00E82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C6C" w:rsidRDefault="00166C6C">
    <w:pPr>
      <w:pStyle w:val="a3"/>
      <w:spacing w:line="14" w:lineRule="auto"/>
      <w:rPr>
        <w:sz w:val="20"/>
      </w:rPr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71E7D03" wp14:editId="77AEB8B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6C6C" w:rsidRPr="005B3A56" w:rsidRDefault="00166C6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166C6C" w:rsidRPr="005B3A56" w:rsidRDefault="00166C6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166C6C" w:rsidRPr="005B3A56" w:rsidRDefault="00166C6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166C6C" w:rsidRPr="005B3A56" w:rsidRDefault="00166C6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4F0985A" wp14:editId="1D1168C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6C6C" w:rsidRPr="005B3A56" w:rsidRDefault="00166C6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166C6C" w:rsidRPr="005B3A56" w:rsidRDefault="00166C6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166C6C" w:rsidRPr="005B3A56" w:rsidRDefault="00166C6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166C6C" w:rsidRPr="005B3A56" w:rsidRDefault="00166C6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FED309F" wp14:editId="096F228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6C6C" w:rsidRPr="005B3A56" w:rsidRDefault="00166C6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166C6C" w:rsidRPr="005B3A56" w:rsidRDefault="00166C6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166C6C" w:rsidRPr="005B3A56" w:rsidRDefault="00166C6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166C6C" w:rsidRPr="005B3A56" w:rsidRDefault="00166C6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003" w:rsidRDefault="00E82003">
      <w:r>
        <w:separator/>
      </w:r>
    </w:p>
  </w:footnote>
  <w:footnote w:type="continuationSeparator" w:id="0">
    <w:p w:rsidR="00E82003" w:rsidRDefault="00E82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C6C" w:rsidRDefault="00166C6C">
    <w:pPr>
      <w:pStyle w:val="a3"/>
      <w:spacing w:line="14" w:lineRule="auto"/>
      <w:rPr>
        <w:sz w:val="20"/>
      </w:rPr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350E463" wp14:editId="015692F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6C6C" w:rsidRPr="005B3A56" w:rsidRDefault="00166C6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166C6C" w:rsidRPr="005B3A56" w:rsidRDefault="00166C6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4FED75" wp14:editId="22558D6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6C6C" w:rsidRPr="005B3A56" w:rsidRDefault="00166C6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166C6C" w:rsidRPr="005B3A56" w:rsidRDefault="00166C6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166C6C" w:rsidRPr="005B3A56" w:rsidRDefault="00166C6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166C6C" w:rsidRPr="005B3A56" w:rsidRDefault="00166C6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32EAB"/>
    <w:rsid w:val="00143A1A"/>
    <w:rsid w:val="00166C6C"/>
    <w:rsid w:val="001A1A7D"/>
    <w:rsid w:val="001B1EEE"/>
    <w:rsid w:val="00292ED9"/>
    <w:rsid w:val="002F1A70"/>
    <w:rsid w:val="00404E5B"/>
    <w:rsid w:val="00414F7B"/>
    <w:rsid w:val="004355DC"/>
    <w:rsid w:val="004749B4"/>
    <w:rsid w:val="00494130"/>
    <w:rsid w:val="004F3523"/>
    <w:rsid w:val="005009F0"/>
    <w:rsid w:val="00516195"/>
    <w:rsid w:val="005450B6"/>
    <w:rsid w:val="005973B9"/>
    <w:rsid w:val="005B3A56"/>
    <w:rsid w:val="006060CE"/>
    <w:rsid w:val="00627530"/>
    <w:rsid w:val="00633D2B"/>
    <w:rsid w:val="0063497F"/>
    <w:rsid w:val="00671D4F"/>
    <w:rsid w:val="006B3F4B"/>
    <w:rsid w:val="00873DF0"/>
    <w:rsid w:val="008756E6"/>
    <w:rsid w:val="009B2D44"/>
    <w:rsid w:val="009E4955"/>
    <w:rsid w:val="00A07E82"/>
    <w:rsid w:val="00A41588"/>
    <w:rsid w:val="00A63DFF"/>
    <w:rsid w:val="00A9710C"/>
    <w:rsid w:val="00AE3E37"/>
    <w:rsid w:val="00B21A57"/>
    <w:rsid w:val="00C33602"/>
    <w:rsid w:val="00C65887"/>
    <w:rsid w:val="00CD35C9"/>
    <w:rsid w:val="00CD6F55"/>
    <w:rsid w:val="00DE3104"/>
    <w:rsid w:val="00E82003"/>
    <w:rsid w:val="00EF347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sc">
    <w:name w:val="desc"/>
    <w:basedOn w:val="a"/>
    <w:rsid w:val="006B3F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paragraph" w:customStyle="1" w:styleId="details">
    <w:name w:val="details"/>
    <w:basedOn w:val="a"/>
    <w:rsid w:val="006B3F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character" w:customStyle="1" w:styleId="jrnl">
    <w:name w:val="jrnl"/>
    <w:basedOn w:val="a0"/>
    <w:rsid w:val="006B3F4B"/>
  </w:style>
  <w:style w:type="character" w:customStyle="1" w:styleId="highlight">
    <w:name w:val="highlight"/>
    <w:basedOn w:val="a0"/>
    <w:rsid w:val="006B3F4B"/>
  </w:style>
  <w:style w:type="character" w:customStyle="1" w:styleId="apple-converted-space">
    <w:name w:val="apple-converted-space"/>
    <w:basedOn w:val="a0"/>
    <w:rsid w:val="006B3F4B"/>
  </w:style>
  <w:style w:type="character" w:styleId="ad">
    <w:name w:val="Strong"/>
    <w:basedOn w:val="a0"/>
    <w:uiPriority w:val="22"/>
    <w:qFormat/>
    <w:rsid w:val="00EF34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sc">
    <w:name w:val="desc"/>
    <w:basedOn w:val="a"/>
    <w:rsid w:val="006B3F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paragraph" w:customStyle="1" w:styleId="details">
    <w:name w:val="details"/>
    <w:basedOn w:val="a"/>
    <w:rsid w:val="006B3F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character" w:customStyle="1" w:styleId="jrnl">
    <w:name w:val="jrnl"/>
    <w:basedOn w:val="a0"/>
    <w:rsid w:val="006B3F4B"/>
  </w:style>
  <w:style w:type="character" w:customStyle="1" w:styleId="highlight">
    <w:name w:val="highlight"/>
    <w:basedOn w:val="a0"/>
    <w:rsid w:val="006B3F4B"/>
  </w:style>
  <w:style w:type="character" w:customStyle="1" w:styleId="apple-converted-space">
    <w:name w:val="apple-converted-space"/>
    <w:basedOn w:val="a0"/>
    <w:rsid w:val="006B3F4B"/>
  </w:style>
  <w:style w:type="character" w:styleId="ad">
    <w:name w:val="Strong"/>
    <w:basedOn w:val="a0"/>
    <w:uiPriority w:val="22"/>
    <w:qFormat/>
    <w:rsid w:val="00EF34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0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tsai@tmu.edu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CJ</cp:lastModifiedBy>
  <cp:revision>7</cp:revision>
  <dcterms:created xsi:type="dcterms:W3CDTF">2017-02-27T03:11:00Z</dcterms:created>
  <dcterms:modified xsi:type="dcterms:W3CDTF">2017-03-06T06:24:00Z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