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C9713E" w14:textId="05A0234D" w:rsidR="00037B41" w:rsidRPr="00E50618" w:rsidRDefault="008B4FB4" w:rsidP="00037B41">
      <w:pPr>
        <w:widowControl w:val="0"/>
        <w:tabs>
          <w:tab w:val="left" w:pos="7371"/>
        </w:tabs>
        <w:autoSpaceDE w:val="0"/>
        <w:autoSpaceDN w:val="0"/>
        <w:adjustRightInd w:val="0"/>
        <w:spacing w:line="360" w:lineRule="auto"/>
        <w:rPr>
          <w:rFonts w:ascii="Helvetica" w:hAnsi="Helvetica" w:cs="Helvetica"/>
          <w:b/>
          <w:bCs/>
          <w:lang w:val="en-US"/>
        </w:rPr>
      </w:pPr>
      <w:r w:rsidRPr="00E50618">
        <w:rPr>
          <w:rFonts w:ascii="Helvetica" w:hAnsi="Helvetica" w:cs="Helvetica"/>
          <w:b/>
          <w:bCs/>
          <w:lang w:val="en-US"/>
        </w:rPr>
        <w:t xml:space="preserve"> </w:t>
      </w:r>
    </w:p>
    <w:p w14:paraId="4CB7E244" w14:textId="77777777" w:rsidR="00357032" w:rsidRDefault="00357032" w:rsidP="00357032">
      <w:pPr>
        <w:widowControl w:val="0"/>
        <w:tabs>
          <w:tab w:val="left" w:pos="7371"/>
        </w:tabs>
        <w:autoSpaceDE w:val="0"/>
        <w:autoSpaceDN w:val="0"/>
        <w:adjustRightInd w:val="0"/>
        <w:spacing w:line="360" w:lineRule="auto"/>
        <w:jc w:val="center"/>
        <w:rPr>
          <w:rFonts w:ascii="Helvetica" w:hAnsi="Helvetica" w:cs="Helvetica"/>
          <w:b/>
          <w:bCs/>
          <w:lang w:val="en-US"/>
        </w:rPr>
      </w:pPr>
      <w:r w:rsidRPr="00E50618">
        <w:rPr>
          <w:rFonts w:ascii="Helvetica" w:hAnsi="Helvetica" w:cs="Helvetica"/>
          <w:b/>
          <w:bCs/>
          <w:lang w:val="en-US"/>
        </w:rPr>
        <w:t xml:space="preserve">Pelvic nerve injury during radical hysterectomy for cervical cancer : </w:t>
      </w:r>
    </w:p>
    <w:p w14:paraId="45703494" w14:textId="77777777" w:rsidR="00357032" w:rsidRPr="001F5409" w:rsidRDefault="00357032" w:rsidP="00357032">
      <w:pPr>
        <w:widowControl w:val="0"/>
        <w:tabs>
          <w:tab w:val="left" w:pos="7371"/>
        </w:tabs>
        <w:autoSpaceDE w:val="0"/>
        <w:autoSpaceDN w:val="0"/>
        <w:adjustRightInd w:val="0"/>
        <w:spacing w:line="360" w:lineRule="auto"/>
        <w:jc w:val="center"/>
        <w:rPr>
          <w:rFonts w:ascii="Helvetica" w:hAnsi="Helvetica" w:cs="Helvetica"/>
          <w:b/>
          <w:bCs/>
          <w:lang w:val="fr-FR"/>
        </w:rPr>
      </w:pPr>
      <w:r w:rsidRPr="001F7CA9">
        <w:rPr>
          <w:rFonts w:ascii="Helvetica" w:hAnsi="Helvetica" w:cs="Helvetica"/>
          <w:b/>
          <w:bCs/>
          <w:lang w:val="fr-FR"/>
        </w:rPr>
        <w:t>Key anatomical zone</w:t>
      </w:r>
    </w:p>
    <w:p w14:paraId="7C9DDE7D" w14:textId="494C62AF"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0"/>
          <w:szCs w:val="20"/>
          <w:lang w:val="fr-FR"/>
        </w:rPr>
      </w:pPr>
      <w:r w:rsidRPr="001F5409">
        <w:rPr>
          <w:rFonts w:ascii="Helvetica" w:hAnsi="Helvetica" w:cs="Helvetica"/>
          <w:sz w:val="20"/>
          <w:szCs w:val="20"/>
          <w:lang w:val="fr-FR"/>
        </w:rPr>
        <w:t>BALAYA V.</w:t>
      </w:r>
      <w:r w:rsidRPr="001F5409">
        <w:rPr>
          <w:rFonts w:ascii="Helvetica" w:hAnsi="Helvetica" w:cs="Helvetica"/>
          <w:sz w:val="20"/>
          <w:szCs w:val="20"/>
          <w:vertAlign w:val="superscript"/>
          <w:lang w:val="fr-FR"/>
        </w:rPr>
        <w:t xml:space="preserve">1,2 </w:t>
      </w:r>
      <w:r w:rsidRPr="001F5409">
        <w:rPr>
          <w:rFonts w:ascii="Helvetica" w:hAnsi="Helvetica" w:cs="Helvetica"/>
          <w:sz w:val="20"/>
          <w:szCs w:val="20"/>
          <w:lang w:val="fr-FR"/>
        </w:rPr>
        <w:t>*, GUIMIOT F.</w:t>
      </w:r>
      <w:r w:rsidRPr="001F5409">
        <w:rPr>
          <w:rFonts w:ascii="Helvetica" w:hAnsi="Helvetica" w:cs="Helvetica"/>
          <w:sz w:val="20"/>
          <w:szCs w:val="20"/>
          <w:vertAlign w:val="superscript"/>
          <w:lang w:val="fr-FR"/>
        </w:rPr>
        <w:t>3</w:t>
      </w:r>
      <w:r w:rsidRPr="001F5409">
        <w:rPr>
          <w:rFonts w:ascii="Helvetica" w:hAnsi="Helvetica" w:cs="Helvetica"/>
          <w:sz w:val="20"/>
          <w:szCs w:val="20"/>
          <w:lang w:val="fr-FR"/>
        </w:rPr>
        <w:t>, UHL JF.</w:t>
      </w:r>
      <w:r w:rsidRPr="001F5409">
        <w:rPr>
          <w:rFonts w:ascii="Helvetica" w:hAnsi="Helvetica" w:cs="Helvetica"/>
          <w:sz w:val="20"/>
          <w:szCs w:val="20"/>
          <w:vertAlign w:val="superscript"/>
          <w:lang w:val="fr-FR"/>
        </w:rPr>
        <w:t>2</w:t>
      </w:r>
      <w:r w:rsidRPr="001F5409">
        <w:rPr>
          <w:rFonts w:ascii="Helvetica" w:hAnsi="Helvetica" w:cs="Helvetica"/>
          <w:sz w:val="20"/>
          <w:szCs w:val="20"/>
          <w:lang w:val="fr-FR"/>
        </w:rPr>
        <w:t>, , NGO C.</w:t>
      </w:r>
      <w:r w:rsidRPr="001F5409">
        <w:rPr>
          <w:rFonts w:ascii="Helvetica" w:hAnsi="Helvetica" w:cs="Helvetica"/>
          <w:sz w:val="20"/>
          <w:szCs w:val="20"/>
          <w:vertAlign w:val="superscript"/>
          <w:lang w:val="fr-FR"/>
        </w:rPr>
        <w:t>1</w:t>
      </w:r>
      <w:r w:rsidRPr="001F5409">
        <w:rPr>
          <w:rFonts w:ascii="Helvetica" w:hAnsi="Helvetica" w:cs="Helvetica"/>
          <w:sz w:val="20"/>
          <w:szCs w:val="20"/>
          <w:lang w:val="fr-FR"/>
        </w:rPr>
        <w:t>, BENSAID C.</w:t>
      </w:r>
      <w:r w:rsidRPr="001F5409">
        <w:rPr>
          <w:rFonts w:ascii="Helvetica" w:hAnsi="Helvetica" w:cs="Helvetica"/>
          <w:sz w:val="20"/>
          <w:szCs w:val="20"/>
          <w:vertAlign w:val="superscript"/>
          <w:lang w:val="fr-FR"/>
        </w:rPr>
        <w:t>1</w:t>
      </w:r>
      <w:r w:rsidRPr="001F5409">
        <w:rPr>
          <w:rFonts w:ascii="Helvetica" w:hAnsi="Helvetica" w:cs="Helvetica"/>
          <w:sz w:val="20"/>
          <w:szCs w:val="20"/>
          <w:lang w:val="fr-FR"/>
        </w:rPr>
        <w:t>, CORNOU C.</w:t>
      </w:r>
      <w:r w:rsidRPr="001F5409">
        <w:rPr>
          <w:rFonts w:ascii="Helvetica" w:hAnsi="Helvetica" w:cs="Helvetica"/>
          <w:sz w:val="20"/>
          <w:szCs w:val="20"/>
          <w:vertAlign w:val="superscript"/>
          <w:lang w:val="fr-FR"/>
        </w:rPr>
        <w:t>1</w:t>
      </w:r>
      <w:r w:rsidR="00AE5C1B">
        <w:rPr>
          <w:rFonts w:ascii="Helvetica" w:hAnsi="Helvetica" w:cs="Helvetica"/>
          <w:sz w:val="20"/>
          <w:szCs w:val="20"/>
          <w:lang w:val="fr-FR"/>
        </w:rPr>
        <w:t>, ROSSI L</w:t>
      </w:r>
      <w:r w:rsidRPr="001F5409">
        <w:rPr>
          <w:rFonts w:ascii="Helvetica" w:hAnsi="Helvetica" w:cs="Helvetica"/>
          <w:sz w:val="20"/>
          <w:szCs w:val="20"/>
          <w:lang w:val="fr-FR"/>
        </w:rPr>
        <w:t>.</w:t>
      </w:r>
      <w:r w:rsidRPr="001F5409">
        <w:rPr>
          <w:rFonts w:ascii="Helvetica" w:hAnsi="Helvetica" w:cs="Helvetica"/>
          <w:sz w:val="20"/>
          <w:szCs w:val="20"/>
          <w:vertAlign w:val="superscript"/>
          <w:lang w:val="fr-FR"/>
        </w:rPr>
        <w:t>1</w:t>
      </w:r>
      <w:r w:rsidRPr="001F5409">
        <w:rPr>
          <w:rFonts w:ascii="Helvetica" w:hAnsi="Helvetica" w:cs="Helvetica"/>
          <w:sz w:val="20"/>
          <w:szCs w:val="20"/>
          <w:lang w:val="fr-FR"/>
        </w:rPr>
        <w:t>,DOUARD R.</w:t>
      </w:r>
      <w:r w:rsidRPr="001F5409">
        <w:rPr>
          <w:rFonts w:ascii="Helvetica" w:hAnsi="Helvetica" w:cs="Helvetica"/>
          <w:sz w:val="20"/>
          <w:szCs w:val="20"/>
          <w:vertAlign w:val="superscript"/>
          <w:lang w:val="fr-FR"/>
        </w:rPr>
        <w:t>2,4</w:t>
      </w:r>
      <w:r w:rsidRPr="001F5409">
        <w:rPr>
          <w:rFonts w:ascii="Helvetica" w:hAnsi="Helvetica" w:cs="Helvetica"/>
          <w:sz w:val="20"/>
          <w:szCs w:val="20"/>
          <w:lang w:val="fr-FR"/>
        </w:rPr>
        <w:t>, DELMAS V.</w:t>
      </w:r>
      <w:r w:rsidRPr="001F5409">
        <w:rPr>
          <w:rFonts w:ascii="Helvetica" w:hAnsi="Helvetica" w:cs="Helvetica"/>
          <w:sz w:val="20"/>
          <w:szCs w:val="20"/>
          <w:vertAlign w:val="superscript"/>
          <w:lang w:val="fr-FR"/>
        </w:rPr>
        <w:t>2,5</w:t>
      </w:r>
      <w:r w:rsidRPr="001F5409">
        <w:rPr>
          <w:rFonts w:ascii="Helvetica" w:hAnsi="Helvetica" w:cs="Helvetica"/>
          <w:sz w:val="20"/>
          <w:szCs w:val="20"/>
          <w:lang w:val="fr-FR"/>
        </w:rPr>
        <w:t>,</w:t>
      </w:r>
      <w:r w:rsidR="00AE5C1B" w:rsidRPr="00AE5C1B">
        <w:rPr>
          <w:rFonts w:ascii="Helvetica" w:hAnsi="Helvetica" w:cs="Helvetica"/>
          <w:sz w:val="20"/>
          <w:szCs w:val="20"/>
          <w:lang w:val="fr-FR"/>
        </w:rPr>
        <w:t xml:space="preserve"> </w:t>
      </w:r>
      <w:r w:rsidR="00AE5C1B" w:rsidRPr="001F5409">
        <w:rPr>
          <w:rFonts w:ascii="Helvetica" w:hAnsi="Helvetica" w:cs="Helvetica"/>
          <w:sz w:val="20"/>
          <w:szCs w:val="20"/>
          <w:lang w:val="fr-FR"/>
        </w:rPr>
        <w:t>BATS AS.</w:t>
      </w:r>
      <w:r w:rsidR="00AE5C1B" w:rsidRPr="001F5409">
        <w:rPr>
          <w:rFonts w:ascii="Helvetica" w:hAnsi="Helvetica" w:cs="Helvetica"/>
          <w:sz w:val="20"/>
          <w:szCs w:val="20"/>
          <w:vertAlign w:val="superscript"/>
          <w:lang w:val="fr-FR"/>
        </w:rPr>
        <w:t>1</w:t>
      </w:r>
      <w:r w:rsidR="00AE5C1B">
        <w:rPr>
          <w:rFonts w:ascii="Helvetica" w:hAnsi="Helvetica" w:cs="Helvetica"/>
          <w:sz w:val="20"/>
          <w:szCs w:val="20"/>
          <w:vertAlign w:val="superscript"/>
          <w:lang w:val="fr-FR"/>
        </w:rPr>
        <w:t xml:space="preserve"> </w:t>
      </w:r>
      <w:r w:rsidR="00AE5C1B">
        <w:rPr>
          <w:rFonts w:ascii="Helvetica" w:hAnsi="Helvetica" w:cs="Helvetica"/>
          <w:sz w:val="20"/>
          <w:szCs w:val="20"/>
          <w:lang w:val="fr-FR"/>
        </w:rPr>
        <w:t>,</w:t>
      </w:r>
      <w:r w:rsidRPr="001F5409">
        <w:rPr>
          <w:rFonts w:ascii="Helvetica" w:hAnsi="Helvetica" w:cs="Helvetica"/>
          <w:sz w:val="20"/>
          <w:szCs w:val="20"/>
          <w:lang w:val="fr-FR"/>
        </w:rPr>
        <w:t xml:space="preserve"> LECURU F.</w:t>
      </w:r>
      <w:r w:rsidRPr="001F5409">
        <w:rPr>
          <w:rFonts w:ascii="Helvetica" w:hAnsi="Helvetica" w:cs="Helvetica"/>
          <w:sz w:val="20"/>
          <w:szCs w:val="20"/>
          <w:vertAlign w:val="superscript"/>
          <w:lang w:val="fr-FR"/>
        </w:rPr>
        <w:t xml:space="preserve">1 </w:t>
      </w:r>
    </w:p>
    <w:p w14:paraId="4F6D619D" w14:textId="7777777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0"/>
          <w:szCs w:val="20"/>
          <w:lang w:val="fr-FR"/>
        </w:rPr>
      </w:pPr>
    </w:p>
    <w:p w14:paraId="324695C8" w14:textId="7777777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0"/>
          <w:szCs w:val="20"/>
          <w:lang w:val="en-US"/>
        </w:rPr>
      </w:pPr>
      <w:r w:rsidRPr="001F5409">
        <w:rPr>
          <w:rFonts w:ascii="Helvetica" w:hAnsi="Helvetica" w:cs="Helvetica"/>
          <w:sz w:val="20"/>
          <w:szCs w:val="20"/>
          <w:lang w:val="en-US"/>
        </w:rPr>
        <w:t xml:space="preserve">1. </w:t>
      </w:r>
      <w:r w:rsidRPr="001F5409">
        <w:rPr>
          <w:rFonts w:ascii="Arial" w:hAnsi="Arial" w:cs="Arial"/>
          <w:color w:val="2B3537"/>
          <w:sz w:val="20"/>
          <w:szCs w:val="20"/>
          <w:lang w:val="en-US"/>
        </w:rPr>
        <w:t>Service de chirurgie cancérologique gynécologique et du sein Hôpital Européen Georges Pompidou (HEGP) 20 rue Leblanc - 75908 Paris cedex 15</w:t>
      </w:r>
      <w:r w:rsidRPr="001F5409">
        <w:rPr>
          <w:rFonts w:ascii="Arial" w:hAnsi="Arial" w:cs="Arial"/>
          <w:sz w:val="20"/>
          <w:szCs w:val="20"/>
          <w:lang w:val="en-US"/>
        </w:rPr>
        <w:t>, France</w:t>
      </w:r>
    </w:p>
    <w:p w14:paraId="58ECFA03" w14:textId="7777777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lang w:val="en-US"/>
        </w:rPr>
      </w:pPr>
      <w:r w:rsidRPr="001F5409">
        <w:rPr>
          <w:rFonts w:ascii="Helvetica" w:hAnsi="Helvetica" w:cs="Helvetica"/>
          <w:sz w:val="20"/>
          <w:szCs w:val="20"/>
          <w:lang w:val="en-US"/>
        </w:rPr>
        <w:t xml:space="preserve">2. </w:t>
      </w:r>
      <w:r w:rsidRPr="001F5409">
        <w:rPr>
          <w:rFonts w:ascii="Arial" w:hAnsi="Arial" w:cs="Arial"/>
          <w:sz w:val="20"/>
          <w:szCs w:val="20"/>
          <w:lang w:val="en-US"/>
        </w:rPr>
        <w:t>URDIA Anatomie, 45, Rue des Saints-Pères - 75006 Paris, France</w:t>
      </w:r>
    </w:p>
    <w:p w14:paraId="1640358F" w14:textId="7777777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lang w:val="en-US"/>
        </w:rPr>
      </w:pPr>
      <w:r w:rsidRPr="001F5409">
        <w:rPr>
          <w:rFonts w:ascii="Arial" w:hAnsi="Arial" w:cs="Arial"/>
          <w:sz w:val="20"/>
          <w:szCs w:val="20"/>
          <w:lang w:val="en-US"/>
        </w:rPr>
        <w:t>3. Service de foetopathologie, Hôpital Robert Debré, 48 Boulevard Serrurier - 75019 Paris, France</w:t>
      </w:r>
    </w:p>
    <w:p w14:paraId="38537B14" w14:textId="7777777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szCs w:val="20"/>
          <w:lang w:val="en-US"/>
        </w:rPr>
      </w:pPr>
      <w:r w:rsidRPr="001F5409">
        <w:rPr>
          <w:rFonts w:ascii="Arial" w:hAnsi="Arial" w:cs="Arial"/>
          <w:sz w:val="20"/>
          <w:szCs w:val="20"/>
          <w:lang w:val="en-US"/>
        </w:rPr>
        <w:t>4.</w:t>
      </w:r>
      <w:r w:rsidRPr="001F5409">
        <w:rPr>
          <w:rFonts w:ascii="Arial" w:hAnsi="Arial" w:cs="Arial"/>
          <w:color w:val="2B3537"/>
          <w:sz w:val="20"/>
          <w:szCs w:val="20"/>
          <w:lang w:val="en-US"/>
        </w:rPr>
        <w:t xml:space="preserve"> Service de chirurgie générale Hôpital Européen Georges Pompidou (HEGP) 20 rue Leblanc - 75908 Paris cedex 15</w:t>
      </w:r>
      <w:r w:rsidRPr="001F5409">
        <w:rPr>
          <w:rFonts w:ascii="Arial" w:hAnsi="Arial" w:cs="Arial"/>
          <w:sz w:val="20"/>
          <w:szCs w:val="20"/>
          <w:lang w:val="en-US"/>
        </w:rPr>
        <w:t>, France</w:t>
      </w:r>
    </w:p>
    <w:p w14:paraId="2BBEC15D" w14:textId="77777777" w:rsidR="00AE5C1B" w:rsidRPr="0087066A" w:rsidRDefault="00AE5C1B" w:rsidP="00AE5C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20"/>
          <w:szCs w:val="20"/>
          <w:lang w:val="en-US"/>
        </w:rPr>
      </w:pPr>
      <w:r w:rsidRPr="0087066A">
        <w:rPr>
          <w:rFonts w:ascii="Helvetica" w:hAnsi="Helvetica" w:cs="Arial"/>
          <w:sz w:val="20"/>
          <w:szCs w:val="20"/>
          <w:lang w:val="en-US"/>
        </w:rPr>
        <w:t xml:space="preserve">5. </w:t>
      </w:r>
      <w:r w:rsidRPr="0087066A">
        <w:rPr>
          <w:rFonts w:ascii="Helvetica" w:eastAsia="ヒラギノ角ゴ Pro W3" w:hAnsi="Helvetica"/>
          <w:sz w:val="20"/>
          <w:szCs w:val="20"/>
          <w:lang w:val="en-US"/>
        </w:rPr>
        <w:t>Service d’Urologie</w:t>
      </w:r>
      <w:r w:rsidRPr="0087066A">
        <w:rPr>
          <w:rFonts w:ascii="Helvetica" w:hAnsi="Helvetica"/>
          <w:sz w:val="20"/>
          <w:szCs w:val="20"/>
          <w:lang w:val="en-US"/>
        </w:rPr>
        <w:t xml:space="preserve">, </w:t>
      </w:r>
      <w:r w:rsidRPr="0087066A">
        <w:rPr>
          <w:rFonts w:ascii="Helvetica" w:eastAsia="ヒラギノ角ゴ Pro W3" w:hAnsi="Helvetica"/>
          <w:sz w:val="20"/>
          <w:szCs w:val="20"/>
          <w:lang w:val="en-US"/>
        </w:rPr>
        <w:t>Hôpital Foch, 40 rue Worth, 92151 Suresnes, France</w:t>
      </w:r>
    </w:p>
    <w:p w14:paraId="75A576B8" w14:textId="37D9708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0"/>
          <w:szCs w:val="20"/>
          <w:lang w:val="en-US"/>
        </w:rPr>
      </w:pPr>
    </w:p>
    <w:p w14:paraId="67C8637B" w14:textId="77777777" w:rsidR="00357032" w:rsidRPr="001F5409" w:rsidRDefault="00357032" w:rsidP="00357032">
      <w:pPr>
        <w:rPr>
          <w:rFonts w:eastAsia="Batang"/>
          <w:color w:val="0000FF"/>
          <w:sz w:val="20"/>
          <w:szCs w:val="20"/>
        </w:rPr>
      </w:pPr>
    </w:p>
    <w:p w14:paraId="0D9D6298" w14:textId="7777777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sz w:val="20"/>
          <w:szCs w:val="20"/>
          <w:lang w:val="en-US"/>
        </w:rPr>
      </w:pPr>
      <w:r w:rsidRPr="001F5409">
        <w:rPr>
          <w:rFonts w:ascii="Helvetica" w:hAnsi="Helvetica" w:cs="Helvetica"/>
          <w:b/>
          <w:i/>
          <w:sz w:val="20"/>
          <w:szCs w:val="20"/>
          <w:lang w:val="en-US"/>
        </w:rPr>
        <w:t>Objectives:</w:t>
      </w:r>
      <w:r w:rsidRPr="001F5409">
        <w:rPr>
          <w:rFonts w:ascii="Helvetica" w:hAnsi="Helvetica" w:cs="Gill Sans"/>
          <w:sz w:val="20"/>
          <w:szCs w:val="20"/>
          <w:lang w:val="en-US"/>
        </w:rPr>
        <w:t xml:space="preserve"> </w:t>
      </w:r>
      <w:r w:rsidRPr="001F5409">
        <w:rPr>
          <w:rFonts w:ascii="Helvetica" w:hAnsi="Helvetica" w:cs="Helvetica"/>
          <w:sz w:val="20"/>
          <w:szCs w:val="20"/>
          <w:lang w:val="en-US"/>
        </w:rPr>
        <w:t>By using 3D reconstruction, to provide key-points of surgical neuroanatomy of the female pelvis to improve nerve-sparing radical hysterectomy.</w:t>
      </w:r>
    </w:p>
    <w:p w14:paraId="69DC0CD3" w14:textId="5BA855A9"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sz w:val="20"/>
          <w:szCs w:val="20"/>
          <w:lang w:val="en-US"/>
        </w:rPr>
      </w:pPr>
      <w:r w:rsidRPr="001F5409">
        <w:rPr>
          <w:rFonts w:ascii="Helvetica" w:hAnsi="Helvetica" w:cs="Helvetica"/>
          <w:b/>
          <w:i/>
          <w:sz w:val="20"/>
          <w:szCs w:val="20"/>
          <w:lang w:val="en-US"/>
        </w:rPr>
        <w:t>Method :</w:t>
      </w:r>
      <w:r w:rsidRPr="001F5409">
        <w:rPr>
          <w:rFonts w:ascii="Helvetica" w:hAnsi="Helvetica" w:cs="Helvetica"/>
          <w:sz w:val="20"/>
          <w:szCs w:val="20"/>
          <w:lang w:val="en-US"/>
        </w:rPr>
        <w:t xml:space="preserve"> </w:t>
      </w:r>
      <w:r w:rsidRPr="001F5409">
        <w:rPr>
          <w:rFonts w:ascii="Helvetica" w:hAnsi="Helvetica" w:cs="Gill Sans"/>
          <w:sz w:val="20"/>
          <w:szCs w:val="20"/>
          <w:lang w:val="en-US"/>
        </w:rPr>
        <w:t xml:space="preserve">Computer-assisted anatomical dissection of </w:t>
      </w:r>
      <w:r w:rsidR="004B0ED6">
        <w:rPr>
          <w:rFonts w:ascii="Helvetica" w:hAnsi="Helvetica" w:cs="Gill Sans"/>
          <w:sz w:val="20"/>
          <w:szCs w:val="20"/>
          <w:lang w:val="en-US"/>
        </w:rPr>
        <w:t>three</w:t>
      </w:r>
      <w:r w:rsidRPr="001F5409">
        <w:rPr>
          <w:rFonts w:ascii="Helvetica" w:hAnsi="Helvetica" w:cs="Gill Sans"/>
          <w:sz w:val="20"/>
          <w:szCs w:val="20"/>
          <w:lang w:val="en-US"/>
        </w:rPr>
        <w:t xml:space="preserve"> human female pelvis fœtus</w:t>
      </w:r>
      <w:r w:rsidR="004B0ED6">
        <w:rPr>
          <w:rFonts w:ascii="Helvetica" w:hAnsi="Helvetica" w:cs="Gill Sans"/>
          <w:sz w:val="20"/>
          <w:szCs w:val="20"/>
          <w:lang w:val="en-US"/>
        </w:rPr>
        <w:t xml:space="preserve"> of 12,15 and 24 weeks of gestation, a classic dissection of a 88-years-old woman and</w:t>
      </w:r>
      <w:r w:rsidRPr="001F5409">
        <w:rPr>
          <w:rFonts w:ascii="Helvetica" w:hAnsi="Helvetica" w:cs="Gill Sans"/>
          <w:sz w:val="20"/>
          <w:szCs w:val="20"/>
          <w:lang w:val="en-US"/>
        </w:rPr>
        <w:t xml:space="preserve"> </w:t>
      </w:r>
      <w:r w:rsidRPr="001F5409">
        <w:rPr>
          <w:rFonts w:ascii="Arial" w:hAnsi="Arial" w:cs="Arial"/>
          <w:sz w:val="20"/>
          <w:szCs w:val="20"/>
          <w:lang w:val="en-US"/>
        </w:rPr>
        <w:t>a r</w:t>
      </w:r>
      <w:r w:rsidR="00810624">
        <w:rPr>
          <w:rFonts w:ascii="Arial" w:hAnsi="Arial" w:cs="Arial"/>
          <w:sz w:val="20"/>
          <w:szCs w:val="20"/>
          <w:lang w:val="en-US"/>
        </w:rPr>
        <w:t xml:space="preserve">eview of the surgical literature </w:t>
      </w:r>
      <w:bookmarkStart w:id="0" w:name="_GoBack"/>
      <w:bookmarkEnd w:id="0"/>
      <w:r w:rsidRPr="001F5409">
        <w:rPr>
          <w:rFonts w:ascii="Arial" w:hAnsi="Arial" w:cs="Arial"/>
          <w:sz w:val="20"/>
          <w:szCs w:val="20"/>
          <w:lang w:val="en-US"/>
        </w:rPr>
        <w:t>on Medline.</w:t>
      </w:r>
    </w:p>
    <w:p w14:paraId="39E4EFEA" w14:textId="7777777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sz w:val="20"/>
          <w:szCs w:val="20"/>
          <w:lang w:val="en-US"/>
        </w:rPr>
      </w:pPr>
      <w:r w:rsidRPr="001F5409">
        <w:rPr>
          <w:rFonts w:ascii="Helvetica" w:hAnsi="Helvetica" w:cs="Helvetica"/>
          <w:b/>
          <w:i/>
          <w:sz w:val="20"/>
          <w:szCs w:val="20"/>
          <w:lang w:val="en-US"/>
        </w:rPr>
        <w:t xml:space="preserve">Results : </w:t>
      </w:r>
      <w:r w:rsidRPr="001F5409">
        <w:rPr>
          <w:rFonts w:ascii="Helvetica" w:hAnsi="Helvetica" w:cs="Helvetica"/>
          <w:sz w:val="20"/>
          <w:szCs w:val="20"/>
          <w:lang w:val="en-US"/>
        </w:rPr>
        <w:t>The superior hypogastric plexus (SHP) divides underneath the promontory into two hypogastric nerves (HN). HN descend along the lateral side of the rectum, then run postero-medially to the ureter and in the lateral part of the uterosacral ligament until the superior angle of the Inferior Hypogastric Plexus (IHP). Pelvic splanchnic nerves (PSN) emerge from ventral rami of S2, S3 and S4 and run on the postero lateral side of the rectum until the posterior edge of the IHP. IHP extend from the anterolateral face of the rectum and passes lateral to the cervix and the vaginal fornix. Efferences of the IHP are constituted by vesical, vagino-rectal and inferior rectal plexus.</w:t>
      </w:r>
    </w:p>
    <w:p w14:paraId="1ED4C81D" w14:textId="7777777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Helvetica" w:hAnsi="Helvetica" w:cs="Helvetica"/>
          <w:sz w:val="20"/>
          <w:szCs w:val="20"/>
          <w:lang w:val="en-US"/>
        </w:rPr>
      </w:pPr>
      <w:r w:rsidRPr="001F5409">
        <w:rPr>
          <w:rFonts w:ascii="Helvetica" w:hAnsi="Helvetica" w:cs="Helvetica"/>
          <w:b/>
          <w:i/>
          <w:sz w:val="20"/>
          <w:szCs w:val="20"/>
          <w:lang w:val="en-US"/>
        </w:rPr>
        <w:t>Discussion:</w:t>
      </w:r>
      <w:r w:rsidRPr="001F5409">
        <w:rPr>
          <w:rFonts w:ascii="Helvetica" w:hAnsi="Helvetica" w:cs="Gill Sans"/>
          <w:sz w:val="20"/>
          <w:szCs w:val="20"/>
          <w:lang w:val="en-US"/>
        </w:rPr>
        <w:t xml:space="preserve"> Preservation of SHP necessitates an approach on the right side of the aorta and a blunt dissection of the promontory before lomboaortic lymphadenectomy. To preserve HN only the medial fibrous part of the uterosacral ligament should be resected. The middle rectal artery, the deep uterine vein and the ureter should be identified to preserve PSN and IHP during resection of paracervix. Vesical branches can be preserved by blunt dissection of the posterior layer of the vesicouterine ligament after identifying the inferior vesical vein. </w:t>
      </w:r>
    </w:p>
    <w:p w14:paraId="640DCDC9" w14:textId="77777777" w:rsidR="00357032" w:rsidRPr="001F5409" w:rsidRDefault="00357032" w:rsidP="00357032">
      <w:pPr>
        <w:jc w:val="both"/>
        <w:rPr>
          <w:color w:val="000000"/>
          <w:sz w:val="20"/>
          <w:szCs w:val="20"/>
        </w:rPr>
      </w:pPr>
    </w:p>
    <w:p w14:paraId="7E48FD5C" w14:textId="2A775290" w:rsidR="00A55D57"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lang w:val="en-US"/>
        </w:rPr>
      </w:pPr>
      <w:r w:rsidRPr="001F5409">
        <w:rPr>
          <w:sz w:val="20"/>
          <w:szCs w:val="20"/>
          <w:lang w:val="en-NZ"/>
        </w:rPr>
        <w:br/>
      </w:r>
      <w:r w:rsidR="00AE5C1B" w:rsidRPr="00AE5C1B">
        <w:rPr>
          <w:rFonts w:ascii="Helvetica" w:hAnsi="Helvetica" w:cs="Helvetica"/>
          <w:noProof/>
          <w:sz w:val="20"/>
          <w:szCs w:val="20"/>
          <w:lang w:val="fr-FR"/>
        </w:rPr>
        <w:lastRenderedPageBreak/>
        <w:drawing>
          <wp:inline distT="0" distB="0" distL="0" distR="0" wp14:anchorId="3EA7160F" wp14:editId="0BD5AD81">
            <wp:extent cx="6583680" cy="5689365"/>
            <wp:effectExtent l="0" t="0" r="0" b="635"/>
            <wp:docPr id="4" name="Image 3" descr="SH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SHP.jpg"/>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584349" cy="5689943"/>
                    </a:xfrm>
                    <a:prstGeom prst="rect">
                      <a:avLst/>
                    </a:prstGeom>
                  </pic:spPr>
                </pic:pic>
              </a:graphicData>
            </a:graphic>
          </wp:inline>
        </w:drawing>
      </w:r>
    </w:p>
    <w:p w14:paraId="512CA357" w14:textId="0C56EAD9" w:rsidR="00A55D57" w:rsidRDefault="008E2E22" w:rsidP="007F10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20"/>
          <w:szCs w:val="20"/>
          <w:lang w:val="en-US"/>
        </w:rPr>
      </w:pPr>
      <w:r>
        <w:rPr>
          <w:rFonts w:ascii="Helvetica" w:hAnsi="Helvetica" w:cs="Helvetica"/>
          <w:sz w:val="20"/>
          <w:szCs w:val="20"/>
          <w:lang w:val="en-US"/>
        </w:rPr>
        <w:t>Figure 1</w:t>
      </w:r>
      <w:r w:rsidR="00A55D57">
        <w:rPr>
          <w:rFonts w:ascii="Helvetica" w:hAnsi="Helvetica" w:cs="Helvetica"/>
          <w:sz w:val="20"/>
          <w:szCs w:val="20"/>
          <w:lang w:val="en-US"/>
        </w:rPr>
        <w:t xml:space="preserve">.  </w:t>
      </w:r>
      <w:r w:rsidR="00AE5C1B">
        <w:rPr>
          <w:rFonts w:ascii="Helvetica" w:hAnsi="Helvetica" w:cs="Helvetica"/>
          <w:sz w:val="20"/>
          <w:szCs w:val="20"/>
          <w:lang w:val="en-US"/>
        </w:rPr>
        <w:t xml:space="preserve">Superior </w:t>
      </w:r>
      <w:r w:rsidR="00A55D57">
        <w:rPr>
          <w:rFonts w:ascii="Helvetica" w:hAnsi="Helvetica" w:cs="Helvetica"/>
          <w:sz w:val="20"/>
          <w:szCs w:val="20"/>
          <w:lang w:val="en-US"/>
        </w:rPr>
        <w:t xml:space="preserve">Hypogastric </w:t>
      </w:r>
      <w:r w:rsidR="00AE5C1B">
        <w:rPr>
          <w:rFonts w:ascii="Helvetica" w:hAnsi="Helvetica" w:cs="Helvetica"/>
          <w:sz w:val="20"/>
          <w:szCs w:val="20"/>
          <w:lang w:val="en-US"/>
        </w:rPr>
        <w:t xml:space="preserve">Plexus is in front of the sacral promontory and divides into two hypogastric </w:t>
      </w:r>
      <w:r w:rsidR="00A55D57">
        <w:rPr>
          <w:rFonts w:ascii="Helvetica" w:hAnsi="Helvetica" w:cs="Helvetica"/>
          <w:sz w:val="20"/>
          <w:szCs w:val="20"/>
          <w:lang w:val="en-US"/>
        </w:rPr>
        <w:t>nerve</w:t>
      </w:r>
      <w:r w:rsidR="00AE5C1B">
        <w:rPr>
          <w:rFonts w:ascii="Helvetica" w:hAnsi="Helvetica" w:cs="Helvetica"/>
          <w:sz w:val="20"/>
          <w:szCs w:val="20"/>
          <w:lang w:val="en-US"/>
        </w:rPr>
        <w:t>s</w:t>
      </w:r>
      <w:r w:rsidR="00B40D3A">
        <w:rPr>
          <w:rFonts w:ascii="Helvetica" w:hAnsi="Helvetica" w:cs="Helvetica"/>
          <w:sz w:val="20"/>
          <w:szCs w:val="20"/>
          <w:lang w:val="en-US"/>
        </w:rPr>
        <w:t xml:space="preserve">. </w:t>
      </w:r>
      <w:r w:rsidR="00AE5C1B">
        <w:rPr>
          <w:rFonts w:ascii="Helvetica" w:hAnsi="Helvetica" w:cs="Helvetica"/>
          <w:sz w:val="20"/>
          <w:szCs w:val="20"/>
          <w:lang w:val="en-US"/>
        </w:rPr>
        <w:t>Anterior</w:t>
      </w:r>
      <w:r w:rsidR="006063D8">
        <w:rPr>
          <w:rFonts w:ascii="Helvetica" w:hAnsi="Helvetica" w:cs="Helvetica"/>
          <w:sz w:val="20"/>
          <w:szCs w:val="20"/>
          <w:lang w:val="en-US"/>
        </w:rPr>
        <w:t xml:space="preserve"> view of the 3D reconstruction.</w:t>
      </w:r>
    </w:p>
    <w:p w14:paraId="07D329AE" w14:textId="77777777" w:rsidR="00A55D57" w:rsidRPr="00A55D57" w:rsidRDefault="00A55D57" w:rsidP="007F108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20"/>
          <w:szCs w:val="20"/>
          <w:lang w:val="en-US"/>
        </w:rPr>
      </w:pPr>
    </w:p>
    <w:p w14:paraId="0A072CA1" w14:textId="790CF81D" w:rsidR="006C192E" w:rsidRDefault="00AE5C1B" w:rsidP="007F3F86">
      <w:pPr>
        <w:widowControl w:val="0"/>
        <w:tabs>
          <w:tab w:val="left" w:pos="480"/>
          <w:tab w:val="left" w:pos="74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lang w:val="en-US"/>
        </w:rPr>
      </w:pPr>
      <w:r w:rsidRPr="00AE5C1B">
        <w:rPr>
          <w:rFonts w:ascii="Helvetica" w:hAnsi="Helvetica" w:cs="Helvetica"/>
          <w:noProof/>
          <w:lang w:val="fr-FR"/>
        </w:rPr>
        <w:drawing>
          <wp:inline distT="0" distB="0" distL="0" distR="0" wp14:anchorId="0197649A" wp14:editId="6D9B4BA4">
            <wp:extent cx="6532880" cy="7858315"/>
            <wp:effectExtent l="0" t="0" r="0" b="0"/>
            <wp:docPr id="1" name="Image 3" descr="Capture d’écran 2015-10-22 à 16.58.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Capture d’écran 2015-10-22 à 16.58.43.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533090" cy="7858568"/>
                    </a:xfrm>
                    <a:prstGeom prst="rect">
                      <a:avLst/>
                    </a:prstGeom>
                  </pic:spPr>
                </pic:pic>
              </a:graphicData>
            </a:graphic>
          </wp:inline>
        </w:drawing>
      </w:r>
    </w:p>
    <w:p w14:paraId="1FC19AC9" w14:textId="334972E8" w:rsidR="000F2FEE" w:rsidRDefault="008E2E22" w:rsidP="000F2F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20"/>
          <w:szCs w:val="20"/>
          <w:lang w:val="en-US"/>
        </w:rPr>
      </w:pPr>
      <w:r>
        <w:rPr>
          <w:rFonts w:ascii="Helvetica" w:hAnsi="Helvetica" w:cs="Helvetica"/>
          <w:sz w:val="20"/>
          <w:szCs w:val="20"/>
          <w:lang w:val="en-US"/>
        </w:rPr>
        <w:t>Figure 2</w:t>
      </w:r>
      <w:r w:rsidR="000F2FEE">
        <w:rPr>
          <w:rFonts w:ascii="Helvetica" w:hAnsi="Helvetica" w:cs="Helvetica"/>
          <w:sz w:val="20"/>
          <w:szCs w:val="20"/>
          <w:lang w:val="en-US"/>
        </w:rPr>
        <w:t xml:space="preserve">. </w:t>
      </w:r>
      <w:r w:rsidR="00AE5C1B">
        <w:rPr>
          <w:rFonts w:ascii="Helvetica" w:hAnsi="Helvetica" w:cs="Helvetica"/>
          <w:sz w:val="20"/>
          <w:szCs w:val="20"/>
          <w:lang w:val="en-US"/>
        </w:rPr>
        <w:t>Left postero-l</w:t>
      </w:r>
      <w:r w:rsidR="000F2FEE">
        <w:rPr>
          <w:rFonts w:ascii="Helvetica" w:hAnsi="Helvetica" w:cs="Helvetica"/>
          <w:sz w:val="20"/>
          <w:szCs w:val="20"/>
          <w:lang w:val="en-US"/>
        </w:rPr>
        <w:t xml:space="preserve">ateral view of the 3D reconstruction. </w:t>
      </w:r>
    </w:p>
    <w:p w14:paraId="5047C9AB" w14:textId="76D795DD" w:rsidR="006C192E" w:rsidRDefault="00AE5C1B" w:rsidP="007F3F86">
      <w:pPr>
        <w:widowControl w:val="0"/>
        <w:tabs>
          <w:tab w:val="left" w:pos="480"/>
          <w:tab w:val="left" w:pos="74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lang w:val="en-US"/>
        </w:rPr>
      </w:pPr>
      <w:r w:rsidRPr="00AE5C1B">
        <w:rPr>
          <w:rFonts w:ascii="Helvetica" w:hAnsi="Helvetica" w:cs="Helvetica"/>
          <w:noProof/>
          <w:lang w:val="fr-FR"/>
        </w:rPr>
        <w:drawing>
          <wp:inline distT="0" distB="0" distL="0" distR="0" wp14:anchorId="479D37C5" wp14:editId="24FADB15">
            <wp:extent cx="6085840" cy="6552804"/>
            <wp:effectExtent l="0" t="0" r="10160" b="635"/>
            <wp:docPr id="3" name="Image 1" descr="Capture d’écran 2015-10-22 à 17.56.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Capture d’écran 2015-10-22 à 17.56.09.png"/>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086653" cy="6553680"/>
                    </a:xfrm>
                    <a:prstGeom prst="rect">
                      <a:avLst/>
                    </a:prstGeom>
                  </pic:spPr>
                </pic:pic>
              </a:graphicData>
            </a:graphic>
          </wp:inline>
        </w:drawing>
      </w:r>
    </w:p>
    <w:p w14:paraId="063C114F" w14:textId="0FE7DD67" w:rsidR="0024610F" w:rsidRDefault="0024610F" w:rsidP="007F3F86">
      <w:pPr>
        <w:widowControl w:val="0"/>
        <w:tabs>
          <w:tab w:val="left" w:pos="480"/>
          <w:tab w:val="left" w:pos="74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lang w:val="en-US"/>
        </w:rPr>
      </w:pPr>
    </w:p>
    <w:p w14:paraId="18401FFD" w14:textId="6A30F140" w:rsidR="0024610F" w:rsidRDefault="008E2E22" w:rsidP="002C2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20"/>
          <w:szCs w:val="20"/>
          <w:lang w:val="en-US"/>
        </w:rPr>
      </w:pPr>
      <w:r>
        <w:rPr>
          <w:rFonts w:ascii="Helvetica" w:hAnsi="Helvetica" w:cs="Helvetica"/>
          <w:sz w:val="20"/>
          <w:szCs w:val="20"/>
          <w:lang w:val="en-US"/>
        </w:rPr>
        <w:t>Figure 3</w:t>
      </w:r>
      <w:r w:rsidR="002C2B63">
        <w:rPr>
          <w:rFonts w:ascii="Helvetica" w:hAnsi="Helvetica" w:cs="Helvetica"/>
          <w:sz w:val="20"/>
          <w:szCs w:val="20"/>
          <w:lang w:val="en-US"/>
        </w:rPr>
        <w:t xml:space="preserve">. Lateral view of the 3D reconstruction. IHP has a triangular form. </w:t>
      </w:r>
    </w:p>
    <w:p w14:paraId="758986DA" w14:textId="7077532B" w:rsidR="00357032" w:rsidRDefault="00357032" w:rsidP="002C2B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20"/>
          <w:szCs w:val="20"/>
          <w:lang w:val="en-US"/>
        </w:rPr>
      </w:pPr>
    </w:p>
    <w:p w14:paraId="1F6DDB1F" w14:textId="77777777" w:rsidR="00AE5C1B" w:rsidRDefault="00AE5C1B" w:rsidP="00357032">
      <w:pPr>
        <w:jc w:val="both"/>
        <w:rPr>
          <w:b/>
          <w:sz w:val="20"/>
          <w:szCs w:val="20"/>
        </w:rPr>
      </w:pPr>
    </w:p>
    <w:p w14:paraId="547C0303" w14:textId="77777777" w:rsidR="00AE5C1B" w:rsidRDefault="00AE5C1B" w:rsidP="00357032">
      <w:pPr>
        <w:jc w:val="both"/>
        <w:rPr>
          <w:b/>
          <w:sz w:val="20"/>
          <w:szCs w:val="20"/>
        </w:rPr>
      </w:pPr>
    </w:p>
    <w:p w14:paraId="348C6042" w14:textId="77777777" w:rsidR="00AE5C1B" w:rsidRDefault="00AE5C1B" w:rsidP="00357032">
      <w:pPr>
        <w:jc w:val="both"/>
        <w:rPr>
          <w:b/>
          <w:sz w:val="20"/>
          <w:szCs w:val="20"/>
        </w:rPr>
      </w:pPr>
    </w:p>
    <w:p w14:paraId="08559979" w14:textId="77777777" w:rsidR="00AE5C1B" w:rsidRDefault="00AE5C1B" w:rsidP="00357032">
      <w:pPr>
        <w:jc w:val="both"/>
        <w:rPr>
          <w:b/>
          <w:sz w:val="20"/>
          <w:szCs w:val="20"/>
        </w:rPr>
      </w:pPr>
    </w:p>
    <w:p w14:paraId="56ED7419" w14:textId="77777777" w:rsidR="00AE5C1B" w:rsidRDefault="00AE5C1B" w:rsidP="00357032">
      <w:pPr>
        <w:jc w:val="both"/>
        <w:rPr>
          <w:b/>
          <w:sz w:val="20"/>
          <w:szCs w:val="20"/>
        </w:rPr>
      </w:pPr>
    </w:p>
    <w:p w14:paraId="6E8BC54F" w14:textId="77777777" w:rsidR="00AE5C1B" w:rsidRDefault="00AE5C1B" w:rsidP="00357032">
      <w:pPr>
        <w:jc w:val="both"/>
        <w:rPr>
          <w:b/>
          <w:sz w:val="20"/>
          <w:szCs w:val="20"/>
        </w:rPr>
      </w:pPr>
    </w:p>
    <w:p w14:paraId="0B038691" w14:textId="651B5F48" w:rsidR="00357032" w:rsidRPr="001F5409" w:rsidRDefault="00357032" w:rsidP="00357032">
      <w:pPr>
        <w:jc w:val="both"/>
        <w:rPr>
          <w:b/>
          <w:sz w:val="20"/>
          <w:szCs w:val="20"/>
        </w:rPr>
      </w:pPr>
      <w:r w:rsidRPr="001F5409">
        <w:rPr>
          <w:b/>
          <w:sz w:val="20"/>
          <w:szCs w:val="20"/>
        </w:rPr>
        <w:t>Biography</w:t>
      </w:r>
    </w:p>
    <w:p w14:paraId="214E1F13" w14:textId="6002C2AE" w:rsidR="00357032" w:rsidRPr="001F5409" w:rsidRDefault="00AE5C1B" w:rsidP="00357032">
      <w:pPr>
        <w:jc w:val="both"/>
        <w:rPr>
          <w:b/>
          <w:sz w:val="20"/>
          <w:szCs w:val="20"/>
        </w:rPr>
      </w:pPr>
      <w:r>
        <w:rPr>
          <w:rFonts w:ascii="Helvetica" w:hAnsi="Helvetica"/>
          <w:noProof/>
          <w:sz w:val="20"/>
          <w:szCs w:val="20"/>
          <w:lang w:val="fr-FR"/>
        </w:rPr>
        <w:drawing>
          <wp:anchor distT="0" distB="0" distL="114300" distR="114300" simplePos="0" relativeHeight="251658240" behindDoc="0" locked="0" layoutInCell="1" allowOverlap="1" wp14:anchorId="023A13A3" wp14:editId="5C98972D">
            <wp:simplePos x="0" y="0"/>
            <wp:positionH relativeFrom="column">
              <wp:posOffset>4445</wp:posOffset>
            </wp:positionH>
            <wp:positionV relativeFrom="paragraph">
              <wp:posOffset>153670</wp:posOffset>
            </wp:positionV>
            <wp:extent cx="984885" cy="1351280"/>
            <wp:effectExtent l="0" t="0" r="5715" b="0"/>
            <wp:wrapSquare wrapText="bothSides"/>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4885" cy="1351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0AF0CC" w14:textId="06BEC7C7" w:rsidR="00357032" w:rsidRPr="001F5409" w:rsidRDefault="00357032" w:rsidP="00357032">
      <w:pPr>
        <w:rPr>
          <w:rFonts w:ascii="Helvetica" w:hAnsi="Helvetica"/>
          <w:sz w:val="20"/>
          <w:szCs w:val="20"/>
        </w:rPr>
      </w:pPr>
      <w:r w:rsidRPr="001F5409">
        <w:rPr>
          <w:rFonts w:ascii="Helvetica" w:hAnsi="Helvetica"/>
          <w:sz w:val="20"/>
          <w:szCs w:val="20"/>
        </w:rPr>
        <w:t xml:space="preserve">Vincent BALAYA is resident of Obstetrics/Gynecology in the departement of gynecological, oncological and breast surgery at Georges Pompidou European Hospital in Paris and researcher at the Human Anatomy departement at University Paris Descartes. </w:t>
      </w:r>
    </w:p>
    <w:p w14:paraId="37C4943B" w14:textId="144618BD" w:rsidR="00357032" w:rsidRPr="001F5409" w:rsidRDefault="00357032" w:rsidP="00357032">
      <w:pPr>
        <w:widowControl w:val="0"/>
        <w:autoSpaceDE w:val="0"/>
        <w:autoSpaceDN w:val="0"/>
        <w:adjustRightInd w:val="0"/>
        <w:rPr>
          <w:rFonts w:ascii="Helvetica" w:hAnsi="Helvetica" w:cs="Tahoma"/>
          <w:sz w:val="20"/>
          <w:szCs w:val="20"/>
          <w:lang w:val="fr-FR"/>
        </w:rPr>
      </w:pPr>
      <w:r w:rsidRPr="001F5409">
        <w:rPr>
          <w:rFonts w:ascii="Helvetica" w:hAnsi="Helvetica" w:cs="Tahoma"/>
          <w:sz w:val="20"/>
          <w:szCs w:val="20"/>
          <w:lang w:val="fr-FR"/>
        </w:rPr>
        <w:t xml:space="preserve">Fabrice </w:t>
      </w:r>
      <w:r w:rsidR="00DD3325">
        <w:rPr>
          <w:rFonts w:ascii="Helvetica" w:hAnsi="Helvetica" w:cs="Tahoma"/>
          <w:sz w:val="20"/>
          <w:szCs w:val="20"/>
          <w:lang w:val="fr-FR"/>
        </w:rPr>
        <w:t>LECURU</w:t>
      </w:r>
      <w:r w:rsidRPr="001F5409">
        <w:rPr>
          <w:rFonts w:ascii="Helvetica" w:hAnsi="Helvetica" w:cs="Tahoma"/>
          <w:sz w:val="20"/>
          <w:szCs w:val="20"/>
          <w:lang w:val="fr-FR"/>
        </w:rPr>
        <w:t xml:space="preserve"> is University professor at the University Par</w:t>
      </w:r>
      <w:r w:rsidR="004B0ED6">
        <w:rPr>
          <w:rFonts w:ascii="Helvetica" w:hAnsi="Helvetica" w:cs="Tahoma"/>
          <w:sz w:val="20"/>
          <w:szCs w:val="20"/>
          <w:lang w:val="fr-FR"/>
        </w:rPr>
        <w:t xml:space="preserve">is Descartes and head chief of </w:t>
      </w:r>
      <w:r w:rsidRPr="001F5409">
        <w:rPr>
          <w:rFonts w:ascii="Helvetica" w:hAnsi="Helvetica"/>
          <w:sz w:val="20"/>
          <w:szCs w:val="20"/>
        </w:rPr>
        <w:t xml:space="preserve">departement </w:t>
      </w:r>
      <w:r w:rsidRPr="001F5409">
        <w:rPr>
          <w:rFonts w:ascii="Helvetica" w:hAnsi="Helvetica" w:cs="Tahoma"/>
          <w:sz w:val="20"/>
          <w:szCs w:val="20"/>
          <w:lang w:val="fr-FR"/>
        </w:rPr>
        <w:t xml:space="preserve">since 2007. Its main poles of interest are the mini-invasive </w:t>
      </w:r>
      <w:r w:rsidR="00A80CF0">
        <w:rPr>
          <w:rFonts w:ascii="Helvetica" w:hAnsi="Helvetica" w:cs="Tahoma"/>
          <w:sz w:val="20"/>
          <w:szCs w:val="20"/>
          <w:lang w:val="fr-FR"/>
        </w:rPr>
        <w:t xml:space="preserve">and robotic </w:t>
      </w:r>
      <w:r w:rsidRPr="001F5409">
        <w:rPr>
          <w:rFonts w:ascii="Helvetica" w:hAnsi="Helvetica" w:cs="Tahoma"/>
          <w:sz w:val="20"/>
          <w:szCs w:val="20"/>
          <w:lang w:val="fr-FR"/>
        </w:rPr>
        <w:t>surgery applied to the gynecological cancers, and the surgery of the advanced cancers of the ovary. He developed these various techniques in the department of the HEGP, so offering to the women of the less noxious effective treatments for them.</w:t>
      </w:r>
    </w:p>
    <w:p w14:paraId="0B777846" w14:textId="64D55E72" w:rsidR="00357032" w:rsidRPr="001F5409" w:rsidRDefault="00357032" w:rsidP="00357032">
      <w:pPr>
        <w:widowControl w:val="0"/>
        <w:autoSpaceDE w:val="0"/>
        <w:autoSpaceDN w:val="0"/>
        <w:adjustRightInd w:val="0"/>
        <w:rPr>
          <w:rFonts w:ascii="Helvetica" w:hAnsi="Helvetica" w:cs="Tahoma"/>
          <w:sz w:val="20"/>
          <w:szCs w:val="20"/>
          <w:lang w:val="fr-FR"/>
        </w:rPr>
      </w:pPr>
      <w:r w:rsidRPr="001F5409">
        <w:rPr>
          <w:rFonts w:ascii="Helvetica" w:hAnsi="Helvetica" w:cs="Tahoma"/>
          <w:sz w:val="20"/>
          <w:szCs w:val="20"/>
          <w:lang w:val="fr-FR"/>
        </w:rPr>
        <w:t>He also developed a very strong activity of clinical</w:t>
      </w:r>
      <w:r w:rsidR="00AE5C1B">
        <w:rPr>
          <w:rFonts w:ascii="Helvetica" w:hAnsi="Helvetica" w:cs="Tahoma"/>
          <w:sz w:val="20"/>
          <w:szCs w:val="20"/>
          <w:lang w:val="fr-FR"/>
        </w:rPr>
        <w:t xml:space="preserve"> research and teaching on these </w:t>
      </w:r>
      <w:r w:rsidRPr="001F5409">
        <w:rPr>
          <w:rFonts w:ascii="Helvetica" w:hAnsi="Helvetica" w:cs="Tahoma"/>
          <w:sz w:val="20"/>
          <w:szCs w:val="20"/>
          <w:lang w:val="fr-FR"/>
        </w:rPr>
        <w:t>themes.</w:t>
      </w:r>
    </w:p>
    <w:p w14:paraId="014DCAEF" w14:textId="77777777" w:rsidR="00357032" w:rsidRPr="001F5409" w:rsidRDefault="00357032" w:rsidP="00357032">
      <w:pPr>
        <w:rPr>
          <w:rFonts w:ascii="Helvetica" w:hAnsi="Helvetica"/>
          <w:sz w:val="20"/>
          <w:szCs w:val="20"/>
        </w:rPr>
      </w:pPr>
      <w:r w:rsidRPr="001F5409">
        <w:rPr>
          <w:rFonts w:ascii="Helvetica" w:hAnsi="Helvetica" w:cs="Tahoma"/>
          <w:sz w:val="20"/>
          <w:szCs w:val="20"/>
          <w:lang w:val="fr-FR"/>
        </w:rPr>
        <w:t>The department of the HEGP was certified by the AP-HP, " Expert Center " for the breast cancer treatment and the gynecological cancers</w:t>
      </w:r>
    </w:p>
    <w:p w14:paraId="206EDA77" w14:textId="77777777" w:rsidR="00357032" w:rsidRPr="001F5409" w:rsidRDefault="00357032" w:rsidP="00357032">
      <w:pPr>
        <w:jc w:val="both"/>
        <w:rPr>
          <w:rFonts w:eastAsia="MS PGothic"/>
          <w:b/>
          <w:color w:val="000000"/>
          <w:sz w:val="20"/>
          <w:szCs w:val="20"/>
        </w:rPr>
      </w:pPr>
    </w:p>
    <w:p w14:paraId="57BFBE14" w14:textId="77777777" w:rsidR="00357032" w:rsidRPr="001F5409"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0"/>
          <w:szCs w:val="20"/>
          <w:lang w:val="fr-FR"/>
        </w:rPr>
      </w:pPr>
      <w:r w:rsidRPr="001F5409">
        <w:rPr>
          <w:b/>
          <w:sz w:val="20"/>
          <w:szCs w:val="20"/>
          <w:lang w:val="en-NZ"/>
        </w:rPr>
        <w:t xml:space="preserve">Presenting author details </w:t>
      </w:r>
      <w:r w:rsidRPr="001F5409">
        <w:rPr>
          <w:b/>
          <w:sz w:val="20"/>
          <w:szCs w:val="20"/>
          <w:lang w:val="en-NZ"/>
        </w:rPr>
        <w:br/>
      </w:r>
      <w:r w:rsidRPr="001F5409">
        <w:rPr>
          <w:sz w:val="20"/>
          <w:szCs w:val="20"/>
          <w:lang w:val="en-NZ"/>
        </w:rPr>
        <w:t xml:space="preserve">Full name: </w:t>
      </w:r>
      <w:r w:rsidRPr="001F5409">
        <w:rPr>
          <w:rFonts w:ascii="Helvetica" w:hAnsi="Helvetica" w:cs="Helvetica"/>
          <w:sz w:val="20"/>
          <w:szCs w:val="20"/>
          <w:lang w:val="fr-FR"/>
        </w:rPr>
        <w:t>Vincent BALAYA</w:t>
      </w:r>
      <w:r w:rsidRPr="001F5409">
        <w:rPr>
          <w:sz w:val="20"/>
          <w:szCs w:val="20"/>
          <w:lang w:val="en-NZ"/>
        </w:rPr>
        <w:br/>
        <w:t>Contact number:</w:t>
      </w:r>
      <w:r w:rsidRPr="001F5409">
        <w:rPr>
          <w:rFonts w:ascii="Helvetica" w:hAnsi="Helvetica" w:cs="Helvetica"/>
          <w:sz w:val="20"/>
          <w:szCs w:val="20"/>
          <w:lang w:val="fr-FR"/>
        </w:rPr>
        <w:t xml:space="preserve"> + 33 (0)6 84 94 70 80</w:t>
      </w:r>
      <w:r w:rsidRPr="001F5409">
        <w:rPr>
          <w:sz w:val="20"/>
          <w:szCs w:val="20"/>
          <w:lang w:val="en-NZ"/>
        </w:rPr>
        <w:br/>
        <w:t>Linked In account:</w:t>
      </w:r>
      <w:r w:rsidRPr="001F5409">
        <w:rPr>
          <w:rFonts w:ascii="Helvetica" w:hAnsi="Helvetica" w:cs="Helvetica"/>
          <w:sz w:val="20"/>
          <w:szCs w:val="20"/>
          <w:lang w:val="fr-FR"/>
        </w:rPr>
        <w:t xml:space="preserve"> Vincent BALAYA</w:t>
      </w:r>
    </w:p>
    <w:p w14:paraId="38074C36" w14:textId="71EBE91B" w:rsidR="00357032" w:rsidRDefault="00357032" w:rsidP="003570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20"/>
          <w:szCs w:val="20"/>
          <w:lang w:val="en-US"/>
        </w:rPr>
      </w:pPr>
      <w:r w:rsidRPr="001F5409">
        <w:rPr>
          <w:sz w:val="20"/>
          <w:szCs w:val="20"/>
          <w:lang w:val="en-NZ"/>
        </w:rPr>
        <w:t>Session name/ number: BALAYA</w:t>
      </w:r>
      <w:r w:rsidRPr="001F5409">
        <w:rPr>
          <w:sz w:val="20"/>
          <w:szCs w:val="20"/>
          <w:lang w:val="en-NZ"/>
        </w:rPr>
        <w:br/>
        <w:t>Category: Oral presentation</w:t>
      </w:r>
    </w:p>
    <w:p w14:paraId="299EDCBC" w14:textId="574D3E10" w:rsidR="00BE7259" w:rsidRPr="00E50618" w:rsidRDefault="00BE7259" w:rsidP="007532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rPr>
          <w:rFonts w:ascii="Helvetica" w:hAnsi="Helvetica" w:cs="Gill Sans"/>
          <w:iCs/>
          <w:sz w:val="26"/>
          <w:szCs w:val="26"/>
          <w:lang w:val="en-US"/>
        </w:rPr>
      </w:pPr>
    </w:p>
    <w:sectPr w:rsidR="00BE7259" w:rsidRPr="00E50618" w:rsidSect="001122BB">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charset w:val="80"/>
    <w:family w:val="modern"/>
    <w:pitch w:val="fixed"/>
    <w:sig w:usb0="E00002FF" w:usb1="6AC7FDFB" w:usb2="00000012" w:usb3="00000000" w:csb0="0002009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ill Sans">
    <w:panose1 w:val="020B0502020104020203"/>
    <w:charset w:val="00"/>
    <w:family w:val="auto"/>
    <w:pitch w:val="variable"/>
    <w:sig w:usb0="80000267" w:usb1="00000000" w:usb2="00000000" w:usb3="00000000" w:csb0="000001F7"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ヒラギノ角ゴ Pro W3">
    <w:charset w:val="4E"/>
    <w:family w:val="auto"/>
    <w:pitch w:val="variable"/>
    <w:sig w:usb0="E00002FF" w:usb1="7AC7FFFF" w:usb2="00000012" w:usb3="00000000" w:csb0="0002000D" w:csb1="00000000"/>
  </w:font>
  <w:font w:name="Batang">
    <w:altName w:val="바탕"/>
    <w:charset w:val="81"/>
    <w:family w:val="roman"/>
    <w:pitch w:val="variable"/>
    <w:sig w:usb0="B00002AF" w:usb1="69D77CFB" w:usb2="00000030" w:usb3="00000000" w:csb0="0008009F" w:csb1="00000000"/>
  </w:font>
  <w:font w:name="Tahoma">
    <w:panose1 w:val="020B0604030504040204"/>
    <w:charset w:val="00"/>
    <w:family w:val="auto"/>
    <w:pitch w:val="variable"/>
    <w:sig w:usb0="E1002AFF" w:usb1="C000605B" w:usb2="00000029" w:usb3="00000000" w:csb0="000101FF" w:csb1="00000000"/>
  </w:font>
  <w:font w:name="MS PGothic">
    <w:charset w:val="80"/>
    <w:family w:val="swiss"/>
    <w:pitch w:val="variable"/>
    <w:sig w:usb0="E00002FF" w:usb1="6AC7FDFB" w:usb2="00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000B"/>
    <w:multiLevelType w:val="hybridMultilevel"/>
    <w:tmpl w:val="0000000B"/>
    <w:lvl w:ilvl="0" w:tplc="000003E9">
      <w:start w:val="1"/>
      <w:numFmt w:val="bullet"/>
      <w:lvlText w:val=""/>
      <w:lvlJc w:val="left"/>
      <w:pPr>
        <w:ind w:left="720" w:hanging="360"/>
      </w:pPr>
    </w:lvl>
    <w:lvl w:ilvl="1" w:tplc="000003EA">
      <w:start w:val="1"/>
      <w:numFmt w:val="bullet"/>
      <w:lvlText w:val=""/>
      <w:lvlJc w:val="left"/>
      <w:pPr>
        <w:ind w:left="1440" w:hanging="360"/>
      </w:pPr>
    </w:lvl>
    <w:lvl w:ilvl="2" w:tplc="000003EB">
      <w:start w:val="1"/>
      <w:numFmt w:val="bullet"/>
      <w:lvlText w:val=""/>
      <w:lvlJc w:val="left"/>
      <w:pPr>
        <w:ind w:left="2160" w:hanging="360"/>
      </w:pPr>
    </w:lvl>
    <w:lvl w:ilvl="3" w:tplc="000003EC">
      <w:start w:val="1"/>
      <w:numFmt w:val="bullet"/>
      <w:lvlText w:val=""/>
      <w:lvlJc w:val="left"/>
      <w:pPr>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7AE3EF6"/>
    <w:multiLevelType w:val="hybridMultilevel"/>
    <w:tmpl w:val="3646624C"/>
    <w:lvl w:ilvl="0" w:tplc="00000001">
      <w:start w:val="1"/>
      <w:numFmt w:val="bullet"/>
      <w:lvlText w:val=""/>
      <w:lvlJc w:val="left"/>
      <w:pPr>
        <w:ind w:left="720" w:hanging="360"/>
      </w:pPr>
    </w:lvl>
    <w:lvl w:ilvl="1" w:tplc="FFFFFFFF">
      <w:numFmt w:val="decimal"/>
      <w:lvlText w:val=""/>
      <w:lvlJc w:val="left"/>
      <w:rPr>
        <w:rFonts w:cs="Times New Roman"/>
      </w:rPr>
    </w:lvl>
    <w:lvl w:ilvl="2" w:tplc="040C0001">
      <w:start w:val="1"/>
      <w:numFmt w:val="bullet"/>
      <w:lvlText w:val=""/>
      <w:lvlJc w:val="left"/>
      <w:pPr>
        <w:ind w:left="360" w:hanging="360"/>
      </w:pPr>
      <w:rPr>
        <w:rFonts w:ascii="Symbol" w:hAnsi="Symbol" w:hint="default"/>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7BA2D4B"/>
    <w:multiLevelType w:val="hybridMultilevel"/>
    <w:tmpl w:val="496E52C8"/>
    <w:lvl w:ilvl="0" w:tplc="5120B56A">
      <w:numFmt w:val="bullet"/>
      <w:lvlText w:val="-"/>
      <w:lvlJc w:val="left"/>
      <w:pPr>
        <w:ind w:left="720" w:hanging="360"/>
      </w:pPr>
      <w:rPr>
        <w:rFonts w:ascii="Helvetica" w:eastAsia="MS Mincho" w:hAnsi="Helvetica" w:cs="Helvetic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E5D00E1"/>
    <w:multiLevelType w:val="hybridMultilevel"/>
    <w:tmpl w:val="B6FEDCA6"/>
    <w:lvl w:ilvl="0" w:tplc="ED4291B8">
      <w:start w:val="11"/>
      <w:numFmt w:val="bullet"/>
      <w:lvlText w:val="-"/>
      <w:lvlJc w:val="left"/>
      <w:pPr>
        <w:ind w:left="720" w:hanging="360"/>
      </w:pPr>
      <w:rPr>
        <w:rFonts w:ascii="Helvetica" w:eastAsia="MS Mincho" w:hAnsi="Helvetica" w:cs="Gill San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17C407D"/>
    <w:multiLevelType w:val="hybridMultilevel"/>
    <w:tmpl w:val="5E6E1E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EFD2AD8"/>
    <w:multiLevelType w:val="hybridMultilevel"/>
    <w:tmpl w:val="B98A72D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nsid w:val="6F5B4F78"/>
    <w:multiLevelType w:val="hybridMultilevel"/>
    <w:tmpl w:val="F530B4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8"/>
  </w:num>
  <w:num w:numId="17">
    <w:abstractNumId w:val="15"/>
  </w:num>
  <w:num w:numId="18">
    <w:abstractNumId w:val="17"/>
  </w:num>
  <w:num w:numId="19">
    <w:abstractNumId w:val="19"/>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2BB"/>
    <w:rsid w:val="00032598"/>
    <w:rsid w:val="00035571"/>
    <w:rsid w:val="00037B41"/>
    <w:rsid w:val="000521A4"/>
    <w:rsid w:val="00056A2F"/>
    <w:rsid w:val="000664E7"/>
    <w:rsid w:val="000770BB"/>
    <w:rsid w:val="0008133F"/>
    <w:rsid w:val="000906D0"/>
    <w:rsid w:val="00090822"/>
    <w:rsid w:val="000A4B2F"/>
    <w:rsid w:val="000A51B6"/>
    <w:rsid w:val="000B2926"/>
    <w:rsid w:val="000B4403"/>
    <w:rsid w:val="000C01DF"/>
    <w:rsid w:val="000C39B9"/>
    <w:rsid w:val="000C3BC5"/>
    <w:rsid w:val="000C7055"/>
    <w:rsid w:val="000D096E"/>
    <w:rsid w:val="000D1445"/>
    <w:rsid w:val="000E2CB3"/>
    <w:rsid w:val="000E6831"/>
    <w:rsid w:val="000E7BE8"/>
    <w:rsid w:val="000F075A"/>
    <w:rsid w:val="000F2FEE"/>
    <w:rsid w:val="00110AF7"/>
    <w:rsid w:val="001122BB"/>
    <w:rsid w:val="00121A0B"/>
    <w:rsid w:val="001462F5"/>
    <w:rsid w:val="00150462"/>
    <w:rsid w:val="00174715"/>
    <w:rsid w:val="0019723A"/>
    <w:rsid w:val="001A0413"/>
    <w:rsid w:val="001A23C9"/>
    <w:rsid w:val="001C49C6"/>
    <w:rsid w:val="001D6BDD"/>
    <w:rsid w:val="001E0769"/>
    <w:rsid w:val="001E71E5"/>
    <w:rsid w:val="001F1537"/>
    <w:rsid w:val="002050EE"/>
    <w:rsid w:val="00213E35"/>
    <w:rsid w:val="002215F7"/>
    <w:rsid w:val="00230632"/>
    <w:rsid w:val="002318FB"/>
    <w:rsid w:val="0024610F"/>
    <w:rsid w:val="002607FF"/>
    <w:rsid w:val="00262D07"/>
    <w:rsid w:val="00263F06"/>
    <w:rsid w:val="00265F13"/>
    <w:rsid w:val="00281047"/>
    <w:rsid w:val="00290544"/>
    <w:rsid w:val="00292B0F"/>
    <w:rsid w:val="002C2B63"/>
    <w:rsid w:val="002C5044"/>
    <w:rsid w:val="002D4D93"/>
    <w:rsid w:val="002E3617"/>
    <w:rsid w:val="002F03BA"/>
    <w:rsid w:val="00310CC0"/>
    <w:rsid w:val="00324A26"/>
    <w:rsid w:val="00333C12"/>
    <w:rsid w:val="00334890"/>
    <w:rsid w:val="00335A69"/>
    <w:rsid w:val="003404B8"/>
    <w:rsid w:val="00341202"/>
    <w:rsid w:val="00345A32"/>
    <w:rsid w:val="00357032"/>
    <w:rsid w:val="00357320"/>
    <w:rsid w:val="00365D4A"/>
    <w:rsid w:val="00373A9B"/>
    <w:rsid w:val="00377224"/>
    <w:rsid w:val="003B717C"/>
    <w:rsid w:val="003D1150"/>
    <w:rsid w:val="003D357A"/>
    <w:rsid w:val="003E047A"/>
    <w:rsid w:val="003E14AE"/>
    <w:rsid w:val="003E2111"/>
    <w:rsid w:val="003E75EB"/>
    <w:rsid w:val="00401868"/>
    <w:rsid w:val="00410C71"/>
    <w:rsid w:val="00441E65"/>
    <w:rsid w:val="004627CC"/>
    <w:rsid w:val="004717E5"/>
    <w:rsid w:val="00477A9F"/>
    <w:rsid w:val="00480ECA"/>
    <w:rsid w:val="004958F4"/>
    <w:rsid w:val="004A4401"/>
    <w:rsid w:val="004B0ED6"/>
    <w:rsid w:val="004C353A"/>
    <w:rsid w:val="004C5EB2"/>
    <w:rsid w:val="004D01C3"/>
    <w:rsid w:val="004D0B65"/>
    <w:rsid w:val="004D45D2"/>
    <w:rsid w:val="004E02C0"/>
    <w:rsid w:val="004E529E"/>
    <w:rsid w:val="004F381F"/>
    <w:rsid w:val="005269C9"/>
    <w:rsid w:val="005334B9"/>
    <w:rsid w:val="005345E2"/>
    <w:rsid w:val="005362EB"/>
    <w:rsid w:val="00545858"/>
    <w:rsid w:val="00550929"/>
    <w:rsid w:val="0056343A"/>
    <w:rsid w:val="00563508"/>
    <w:rsid w:val="00572CEB"/>
    <w:rsid w:val="00575CF9"/>
    <w:rsid w:val="00581617"/>
    <w:rsid w:val="005901F9"/>
    <w:rsid w:val="005A2FCF"/>
    <w:rsid w:val="005B328C"/>
    <w:rsid w:val="005D5F04"/>
    <w:rsid w:val="005F2105"/>
    <w:rsid w:val="005F5718"/>
    <w:rsid w:val="006063D8"/>
    <w:rsid w:val="00626A43"/>
    <w:rsid w:val="00633416"/>
    <w:rsid w:val="00685569"/>
    <w:rsid w:val="00685A3C"/>
    <w:rsid w:val="0069259A"/>
    <w:rsid w:val="006B1F5E"/>
    <w:rsid w:val="006B2C7C"/>
    <w:rsid w:val="006C192E"/>
    <w:rsid w:val="006C7BE3"/>
    <w:rsid w:val="006D7618"/>
    <w:rsid w:val="006E6872"/>
    <w:rsid w:val="006F3DA2"/>
    <w:rsid w:val="006F5756"/>
    <w:rsid w:val="006F64E6"/>
    <w:rsid w:val="006F7FDD"/>
    <w:rsid w:val="00707865"/>
    <w:rsid w:val="007131F4"/>
    <w:rsid w:val="0071369B"/>
    <w:rsid w:val="00720918"/>
    <w:rsid w:val="00731DD0"/>
    <w:rsid w:val="0075328B"/>
    <w:rsid w:val="00780A15"/>
    <w:rsid w:val="00781509"/>
    <w:rsid w:val="007A2D04"/>
    <w:rsid w:val="007A415F"/>
    <w:rsid w:val="007A6B08"/>
    <w:rsid w:val="007B6A9A"/>
    <w:rsid w:val="007D4CEB"/>
    <w:rsid w:val="007F010D"/>
    <w:rsid w:val="007F0314"/>
    <w:rsid w:val="007F1088"/>
    <w:rsid w:val="007F3F86"/>
    <w:rsid w:val="008050A9"/>
    <w:rsid w:val="00810624"/>
    <w:rsid w:val="00813897"/>
    <w:rsid w:val="00816F54"/>
    <w:rsid w:val="00853713"/>
    <w:rsid w:val="00866E5C"/>
    <w:rsid w:val="00867491"/>
    <w:rsid w:val="00872871"/>
    <w:rsid w:val="00877DC2"/>
    <w:rsid w:val="00884AF7"/>
    <w:rsid w:val="008A48C1"/>
    <w:rsid w:val="008B4FB4"/>
    <w:rsid w:val="008B5FC9"/>
    <w:rsid w:val="008C1B4E"/>
    <w:rsid w:val="008C2BE9"/>
    <w:rsid w:val="008C6B5B"/>
    <w:rsid w:val="008D643A"/>
    <w:rsid w:val="008E2E22"/>
    <w:rsid w:val="008F5327"/>
    <w:rsid w:val="008F6507"/>
    <w:rsid w:val="00901AC6"/>
    <w:rsid w:val="00915FB5"/>
    <w:rsid w:val="00923710"/>
    <w:rsid w:val="00932A12"/>
    <w:rsid w:val="00962ABE"/>
    <w:rsid w:val="009673BF"/>
    <w:rsid w:val="0097000A"/>
    <w:rsid w:val="009842B5"/>
    <w:rsid w:val="00986F4A"/>
    <w:rsid w:val="00994FCB"/>
    <w:rsid w:val="0099691A"/>
    <w:rsid w:val="009A4D8E"/>
    <w:rsid w:val="009C4A43"/>
    <w:rsid w:val="009D43A0"/>
    <w:rsid w:val="009D69AE"/>
    <w:rsid w:val="009E07F7"/>
    <w:rsid w:val="009E0EEA"/>
    <w:rsid w:val="009F75CF"/>
    <w:rsid w:val="00A02F42"/>
    <w:rsid w:val="00A303FC"/>
    <w:rsid w:val="00A55D57"/>
    <w:rsid w:val="00A765F3"/>
    <w:rsid w:val="00A80CF0"/>
    <w:rsid w:val="00A913D8"/>
    <w:rsid w:val="00A9400D"/>
    <w:rsid w:val="00A94BDB"/>
    <w:rsid w:val="00AC5FC3"/>
    <w:rsid w:val="00AD3717"/>
    <w:rsid w:val="00AD5F87"/>
    <w:rsid w:val="00AD658C"/>
    <w:rsid w:val="00AE5C1B"/>
    <w:rsid w:val="00AE7C2E"/>
    <w:rsid w:val="00B2606C"/>
    <w:rsid w:val="00B40D3A"/>
    <w:rsid w:val="00B50DA1"/>
    <w:rsid w:val="00B55F89"/>
    <w:rsid w:val="00B610A1"/>
    <w:rsid w:val="00B66415"/>
    <w:rsid w:val="00B75B89"/>
    <w:rsid w:val="00B84669"/>
    <w:rsid w:val="00B8527A"/>
    <w:rsid w:val="00B951C8"/>
    <w:rsid w:val="00B97CDB"/>
    <w:rsid w:val="00BB3D51"/>
    <w:rsid w:val="00BB3D8E"/>
    <w:rsid w:val="00BD03A7"/>
    <w:rsid w:val="00BE7259"/>
    <w:rsid w:val="00C030EF"/>
    <w:rsid w:val="00C20852"/>
    <w:rsid w:val="00C22114"/>
    <w:rsid w:val="00C24EE9"/>
    <w:rsid w:val="00C353A7"/>
    <w:rsid w:val="00C3541D"/>
    <w:rsid w:val="00C3775E"/>
    <w:rsid w:val="00C43C4E"/>
    <w:rsid w:val="00C50C0A"/>
    <w:rsid w:val="00C51FF1"/>
    <w:rsid w:val="00C57BC3"/>
    <w:rsid w:val="00C6749E"/>
    <w:rsid w:val="00C75254"/>
    <w:rsid w:val="00C95FB0"/>
    <w:rsid w:val="00CA3F5B"/>
    <w:rsid w:val="00CA4890"/>
    <w:rsid w:val="00CB4D56"/>
    <w:rsid w:val="00CB661B"/>
    <w:rsid w:val="00CC43AC"/>
    <w:rsid w:val="00CC58EB"/>
    <w:rsid w:val="00CF5A18"/>
    <w:rsid w:val="00D05C90"/>
    <w:rsid w:val="00D07335"/>
    <w:rsid w:val="00D12816"/>
    <w:rsid w:val="00D21558"/>
    <w:rsid w:val="00D422DF"/>
    <w:rsid w:val="00D428CA"/>
    <w:rsid w:val="00D46EA2"/>
    <w:rsid w:val="00D47502"/>
    <w:rsid w:val="00D572A4"/>
    <w:rsid w:val="00D7305E"/>
    <w:rsid w:val="00D975EF"/>
    <w:rsid w:val="00DB0E26"/>
    <w:rsid w:val="00DD3325"/>
    <w:rsid w:val="00DE145E"/>
    <w:rsid w:val="00DE5422"/>
    <w:rsid w:val="00DF6175"/>
    <w:rsid w:val="00E1005D"/>
    <w:rsid w:val="00E11C74"/>
    <w:rsid w:val="00E12B8E"/>
    <w:rsid w:val="00E168E5"/>
    <w:rsid w:val="00E17E79"/>
    <w:rsid w:val="00E304BB"/>
    <w:rsid w:val="00E50618"/>
    <w:rsid w:val="00E66345"/>
    <w:rsid w:val="00E74B4E"/>
    <w:rsid w:val="00E96011"/>
    <w:rsid w:val="00EC4CF6"/>
    <w:rsid w:val="00EC7F00"/>
    <w:rsid w:val="00ED1CF0"/>
    <w:rsid w:val="00ED504E"/>
    <w:rsid w:val="00ED688E"/>
    <w:rsid w:val="00ED74A7"/>
    <w:rsid w:val="00EF221C"/>
    <w:rsid w:val="00EF65C2"/>
    <w:rsid w:val="00F1295D"/>
    <w:rsid w:val="00F1521B"/>
    <w:rsid w:val="00F161CC"/>
    <w:rsid w:val="00F21242"/>
    <w:rsid w:val="00F23E08"/>
    <w:rsid w:val="00F41A68"/>
    <w:rsid w:val="00F4206C"/>
    <w:rsid w:val="00F64340"/>
    <w:rsid w:val="00F946EC"/>
    <w:rsid w:val="00FA06DD"/>
    <w:rsid w:val="00FA17BA"/>
    <w:rsid w:val="00FA364A"/>
    <w:rsid w:val="00FB545B"/>
    <w:rsid w:val="00FE29AD"/>
    <w:rsid w:val="00FE3B2F"/>
    <w:rsid w:val="00FE6DCA"/>
    <w:rsid w:val="00FF0162"/>
    <w:rsid w:val="00FF52F2"/>
    <w:rsid w:val="00FF5FD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22A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sz w:val="22"/>
        <w:szCs w:val="22"/>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598"/>
    <w:rPr>
      <w:sz w:val="24"/>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rsid w:val="001122BB"/>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1122BB"/>
    <w:rPr>
      <w:rFonts w:ascii="Lucida Grande" w:hAnsi="Lucida Grande" w:cs="Lucida Grande"/>
      <w:sz w:val="18"/>
      <w:szCs w:val="18"/>
    </w:rPr>
  </w:style>
  <w:style w:type="paragraph" w:customStyle="1" w:styleId="Bibliographie1">
    <w:name w:val="Bibliographie1"/>
    <w:basedOn w:val="Normal"/>
    <w:uiPriority w:val="99"/>
    <w:rsid w:val="001122BB"/>
    <w:pPr>
      <w:widowControl w:val="0"/>
      <w:tabs>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384" w:hanging="384"/>
    </w:pPr>
    <w:rPr>
      <w:rFonts w:ascii="Arial" w:hAnsi="Arial" w:cs="Arial"/>
      <w:iCs/>
      <w:lang w:val="fr-FR"/>
    </w:rPr>
  </w:style>
  <w:style w:type="paragraph" w:styleId="Paragraphedeliste">
    <w:name w:val="List Paragraph"/>
    <w:basedOn w:val="Normal"/>
    <w:uiPriority w:val="34"/>
    <w:qFormat/>
    <w:rsid w:val="001A23C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sz w:val="22"/>
        <w:szCs w:val="22"/>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598"/>
    <w:rPr>
      <w:sz w:val="24"/>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rsid w:val="001122BB"/>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1122BB"/>
    <w:rPr>
      <w:rFonts w:ascii="Lucida Grande" w:hAnsi="Lucida Grande" w:cs="Lucida Grande"/>
      <w:sz w:val="18"/>
      <w:szCs w:val="18"/>
    </w:rPr>
  </w:style>
  <w:style w:type="paragraph" w:customStyle="1" w:styleId="Bibliographie1">
    <w:name w:val="Bibliographie1"/>
    <w:basedOn w:val="Normal"/>
    <w:uiPriority w:val="99"/>
    <w:rsid w:val="001122BB"/>
    <w:pPr>
      <w:widowControl w:val="0"/>
      <w:tabs>
        <w:tab w:val="left" w:pos="38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left="384" w:hanging="384"/>
    </w:pPr>
    <w:rPr>
      <w:rFonts w:ascii="Arial" w:hAnsi="Arial" w:cs="Arial"/>
      <w:iCs/>
      <w:lang w:val="fr-FR"/>
    </w:rPr>
  </w:style>
  <w:style w:type="paragraph" w:styleId="Paragraphedeliste">
    <w:name w:val="List Paragraph"/>
    <w:basedOn w:val="Normal"/>
    <w:uiPriority w:val="34"/>
    <w:qFormat/>
    <w:rsid w:val="001A23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89969">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0A0C7-566E-1A40-B895-4833D19B7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1432</TotalTime>
  <Pages>5</Pages>
  <Words>577</Words>
  <Characters>3178</Characters>
  <Application>Microsoft Macintosh Word</Application>
  <DocSecurity>0</DocSecurity>
  <Lines>26</Lines>
  <Paragraphs>7</Paragraphs>
  <ScaleCrop>false</ScaleCrop>
  <Company/>
  <LinksUpToDate>false</LinksUpToDate>
  <CharactersWithSpaces>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BALAYA</dc:creator>
  <cp:keywords/>
  <dc:description/>
  <cp:lastModifiedBy>Vincent BALAYA</cp:lastModifiedBy>
  <cp:revision>31</cp:revision>
  <dcterms:created xsi:type="dcterms:W3CDTF">2014-09-16T16:24:00Z</dcterms:created>
  <dcterms:modified xsi:type="dcterms:W3CDTF">2016-06-07T20:59:00Z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zotero-version="4.0.23"&gt;&lt;session id="TsN5hyEy"/&gt;&lt;style id="http://www.zotero.org/styles/vancouver" hasBibliography="1" bibliographyStyleHasBeenSet="1"/&gt;&lt;prefs&gt;&lt;pref name="fieldType" value="Field"/&gt;&lt;pref name="storeReferences" value=</vt:lpwstr>
  </property>
  <property fmtid="{D5CDD505-2E9C-101B-9397-08002B2CF9AE}" pid="3" name="ZOTERO_PREF_2">
    <vt:lpwstr>"true"/&gt;&lt;pref name="automaticJournalAbbreviations" value="true"/&gt;&lt;pref name="noteType" value="0"/&gt;&lt;/prefs&gt;&lt;/data&gt;</vt:lpwstr>
  </property>
</Properties>
</file>