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172" w:rsidRDefault="004D1172" w:rsidP="004D11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2E3A220" wp14:editId="004E4A6C">
            <wp:extent cx="1040178" cy="1197548"/>
            <wp:effectExtent l="0" t="0" r="7620" b="3175"/>
            <wp:docPr id="4103" name="Picture 2" descr="C:\Users\200138\Downloads\FB_IMG_150972097376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Picture 2" descr="C:\Users\200138\Downloads\FB_IMG_1509720973766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7"/>
                    <a:stretch/>
                  </pic:blipFill>
                  <pic:spPr bwMode="auto">
                    <a:xfrm>
                      <a:off x="0" y="0"/>
                      <a:ext cx="1071980" cy="123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B5BD0" w:rsidRPr="008319DE" w:rsidRDefault="004F0152" w:rsidP="00831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AFC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="00396F4A" w:rsidRPr="00B75AFC">
        <w:rPr>
          <w:rFonts w:ascii="Times New Roman" w:hAnsi="Times New Roman" w:cs="Times New Roman"/>
          <w:b/>
          <w:sz w:val="28"/>
          <w:szCs w:val="28"/>
        </w:rPr>
        <w:t>Agarose G</w:t>
      </w:r>
      <w:r w:rsidR="005B5BD0" w:rsidRPr="00B75AFC">
        <w:rPr>
          <w:rFonts w:ascii="Times New Roman" w:hAnsi="Times New Roman" w:cs="Times New Roman"/>
          <w:b/>
          <w:sz w:val="28"/>
          <w:szCs w:val="28"/>
        </w:rPr>
        <w:t>el Electrophoresis play a better role than Capillary Electrophoresis for diagnosing and monitoring Multiple Myeloma patients</w:t>
      </w:r>
      <w:r w:rsidR="00744881" w:rsidRPr="00B75AFC">
        <w:rPr>
          <w:rFonts w:ascii="Times New Roman" w:hAnsi="Times New Roman" w:cs="Times New Roman"/>
          <w:b/>
          <w:sz w:val="28"/>
          <w:szCs w:val="28"/>
        </w:rPr>
        <w:t>: Old may be Go</w:t>
      </w:r>
      <w:r w:rsidR="00396F4A" w:rsidRPr="00B75AFC">
        <w:rPr>
          <w:rFonts w:ascii="Times New Roman" w:hAnsi="Times New Roman" w:cs="Times New Roman"/>
          <w:b/>
          <w:sz w:val="28"/>
          <w:szCs w:val="28"/>
        </w:rPr>
        <w:t>l</w:t>
      </w:r>
      <w:r w:rsidR="00744881" w:rsidRPr="00B75AFC">
        <w:rPr>
          <w:rFonts w:ascii="Times New Roman" w:hAnsi="Times New Roman" w:cs="Times New Roman"/>
          <w:b/>
          <w:sz w:val="28"/>
          <w:szCs w:val="28"/>
        </w:rPr>
        <w:t>d.</w:t>
      </w:r>
      <w:bookmarkStart w:id="0" w:name="_GoBack"/>
      <w:bookmarkEnd w:id="0"/>
    </w:p>
    <w:p w:rsidR="00396F4A" w:rsidRPr="00396F4A" w:rsidRDefault="00396F4A" w:rsidP="00396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F4A">
        <w:rPr>
          <w:rFonts w:ascii="Times New Roman" w:hAnsi="Times New Roman" w:cs="Times New Roman"/>
          <w:sz w:val="24"/>
          <w:szCs w:val="24"/>
        </w:rPr>
        <w:t xml:space="preserve">Name: Dr. </w:t>
      </w:r>
      <w:proofErr w:type="spellStart"/>
      <w:r w:rsidRPr="00396F4A">
        <w:rPr>
          <w:rFonts w:ascii="Times New Roman" w:hAnsi="Times New Roman" w:cs="Times New Roman"/>
          <w:sz w:val="24"/>
          <w:szCs w:val="24"/>
        </w:rPr>
        <w:t>Geeta</w:t>
      </w:r>
      <w:proofErr w:type="spellEnd"/>
      <w:r w:rsidRPr="00396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6F4A">
        <w:rPr>
          <w:rFonts w:ascii="Times New Roman" w:hAnsi="Times New Roman" w:cs="Times New Roman"/>
          <w:sz w:val="24"/>
          <w:szCs w:val="24"/>
        </w:rPr>
        <w:t>Rathnakumar</w:t>
      </w:r>
      <w:proofErr w:type="spellEnd"/>
    </w:p>
    <w:p w:rsidR="00396F4A" w:rsidRPr="00396F4A" w:rsidRDefault="00396F4A" w:rsidP="00396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F4A">
        <w:rPr>
          <w:rFonts w:ascii="Times New Roman" w:hAnsi="Times New Roman" w:cs="Times New Roman"/>
          <w:sz w:val="24"/>
          <w:szCs w:val="24"/>
        </w:rPr>
        <w:t xml:space="preserve">Department of Biochemistry, Tata Memorial Hospital, </w:t>
      </w:r>
      <w:proofErr w:type="spellStart"/>
      <w:r w:rsidRPr="00396F4A">
        <w:rPr>
          <w:rFonts w:ascii="Times New Roman" w:hAnsi="Times New Roman" w:cs="Times New Roman"/>
          <w:sz w:val="24"/>
          <w:szCs w:val="24"/>
        </w:rPr>
        <w:t>Parel</w:t>
      </w:r>
      <w:proofErr w:type="spellEnd"/>
      <w:r w:rsidRPr="00396F4A">
        <w:rPr>
          <w:rFonts w:ascii="Times New Roman" w:hAnsi="Times New Roman" w:cs="Times New Roman"/>
          <w:sz w:val="24"/>
          <w:szCs w:val="24"/>
        </w:rPr>
        <w:t>, Mumbai, India</w:t>
      </w:r>
    </w:p>
    <w:p w:rsidR="00396F4A" w:rsidRPr="00396F4A" w:rsidRDefault="00396F4A" w:rsidP="00396F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565C" w:rsidRPr="00396F4A" w:rsidRDefault="0004790A" w:rsidP="00396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F4A">
        <w:rPr>
          <w:rFonts w:ascii="Times New Roman" w:hAnsi="Times New Roman" w:cs="Times New Roman"/>
          <w:b/>
          <w:sz w:val="24"/>
          <w:szCs w:val="24"/>
        </w:rPr>
        <w:t>Abstract</w:t>
      </w:r>
      <w:r w:rsidR="001350A0" w:rsidRPr="00396F4A">
        <w:rPr>
          <w:rFonts w:ascii="Times New Roman" w:hAnsi="Times New Roman" w:cs="Times New Roman"/>
          <w:sz w:val="24"/>
          <w:szCs w:val="24"/>
        </w:rPr>
        <w:t>:</w:t>
      </w:r>
      <w:r w:rsidR="001350A0" w:rsidRPr="00396F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350A0" w:rsidRPr="00396F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Diagnosis and monitoring of MM and related conditions are usually carried out by means of serum and urine protein electrophoresis and immunofixation</w:t>
      </w:r>
      <w:r w:rsidR="00F726AF" w:rsidRPr="00396F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 electrophoresis (IFE)</w:t>
      </w:r>
      <w:r w:rsidR="001350A0" w:rsidRPr="00396F4A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 xml:space="preserve">. </w:t>
      </w:r>
      <w:r w:rsidR="00744881" w:rsidRPr="00396F4A">
        <w:rPr>
          <w:rFonts w:ascii="Times New Roman" w:hAnsi="Times New Roman" w:cs="Times New Roman"/>
          <w:color w:val="222222"/>
          <w:sz w:val="24"/>
          <w:szCs w:val="24"/>
          <w:lang w:val="en"/>
        </w:rPr>
        <w:t>Serum Protein Electrophoresis (</w:t>
      </w:r>
      <w:r w:rsidR="001350A0" w:rsidRPr="00396F4A">
        <w:rPr>
          <w:rFonts w:ascii="Times New Roman" w:hAnsi="Times New Roman" w:cs="Times New Roman"/>
          <w:color w:val="222222"/>
          <w:sz w:val="24"/>
          <w:szCs w:val="24"/>
          <w:lang w:val="en"/>
        </w:rPr>
        <w:t>SPEP</w:t>
      </w:r>
      <w:r w:rsidR="00744881" w:rsidRPr="00396F4A">
        <w:rPr>
          <w:rFonts w:ascii="Times New Roman" w:hAnsi="Times New Roman" w:cs="Times New Roman"/>
          <w:color w:val="222222"/>
          <w:sz w:val="24"/>
          <w:szCs w:val="24"/>
          <w:lang w:val="en"/>
        </w:rPr>
        <w:t>)</w:t>
      </w:r>
      <w:r w:rsidR="001350A0" w:rsidRPr="00396F4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is helpful in following the response of the disease to therapy. 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Interpretation from IFE </w:t>
      </w:r>
      <w:r w:rsidR="001350A0" w:rsidRPr="00396F4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is helpful </w:t>
      </w:r>
      <w:r w:rsidR="00F726AF" w:rsidRPr="00396F4A">
        <w:rPr>
          <w:rFonts w:ascii="Times New Roman" w:hAnsi="Times New Roman" w:cs="Times New Roman"/>
          <w:color w:val="222222"/>
          <w:sz w:val="24"/>
          <w:szCs w:val="24"/>
          <w:lang w:val="en"/>
        </w:rPr>
        <w:t>in</w:t>
      </w:r>
      <w:r w:rsidR="001350A0" w:rsidRPr="00396F4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identifying the specific type of malignant heavy chain and light chain (e.g., IgG kappa or IgA lambda) present.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 </w:t>
      </w:r>
      <w:r w:rsidR="00D660A7" w:rsidRPr="00396F4A">
        <w:rPr>
          <w:rFonts w:ascii="Times New Roman" w:hAnsi="Times New Roman" w:cs="Times New Roman"/>
          <w:sz w:val="24"/>
          <w:szCs w:val="24"/>
        </w:rPr>
        <w:t>C</w:t>
      </w:r>
      <w:r w:rsidR="001350A0" w:rsidRPr="00396F4A">
        <w:rPr>
          <w:rFonts w:ascii="Times New Roman" w:hAnsi="Times New Roman" w:cs="Times New Roman"/>
          <w:sz w:val="24"/>
          <w:szCs w:val="24"/>
        </w:rPr>
        <w:t>apillary electrophoresis</w:t>
      </w:r>
      <w:r w:rsidR="00F726AF" w:rsidRPr="00396F4A">
        <w:rPr>
          <w:rFonts w:ascii="Times New Roman" w:hAnsi="Times New Roman" w:cs="Times New Roman"/>
          <w:sz w:val="24"/>
          <w:szCs w:val="24"/>
        </w:rPr>
        <w:t xml:space="preserve"> (CE)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 </w:t>
      </w:r>
      <w:r w:rsidR="000644DB">
        <w:rPr>
          <w:rFonts w:ascii="Times New Roman" w:hAnsi="Times New Roman" w:cs="Times New Roman"/>
          <w:sz w:val="24"/>
          <w:szCs w:val="24"/>
        </w:rPr>
        <w:t>is popular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 alternative for conventional </w:t>
      </w:r>
      <w:r w:rsidR="00F726AF" w:rsidRPr="00396F4A">
        <w:rPr>
          <w:rFonts w:ascii="Times New Roman" w:hAnsi="Times New Roman" w:cs="Times New Roman"/>
          <w:sz w:val="24"/>
          <w:szCs w:val="24"/>
        </w:rPr>
        <w:t>AGE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 due to its operational advantages, including automation and shorter processing times. </w:t>
      </w:r>
      <w:r w:rsidR="00AE2259" w:rsidRPr="00396F4A">
        <w:rPr>
          <w:rFonts w:ascii="Times New Roman" w:hAnsi="Times New Roman" w:cs="Times New Roman"/>
          <w:b/>
          <w:sz w:val="24"/>
          <w:szCs w:val="24"/>
        </w:rPr>
        <w:t>Aim</w:t>
      </w:r>
      <w:r w:rsidR="00AE2259" w:rsidRPr="00396F4A">
        <w:rPr>
          <w:rFonts w:ascii="Times New Roman" w:hAnsi="Times New Roman" w:cs="Times New Roman"/>
          <w:sz w:val="24"/>
          <w:szCs w:val="24"/>
        </w:rPr>
        <w:t xml:space="preserve">: We sought to assess if our older method AGE is obsolete or offers advantage over CE. </w:t>
      </w:r>
      <w:r w:rsidR="00AE2259" w:rsidRPr="000644DB">
        <w:rPr>
          <w:rFonts w:ascii="Times New Roman" w:hAnsi="Times New Roman" w:cs="Times New Roman"/>
          <w:sz w:val="24"/>
          <w:szCs w:val="24"/>
        </w:rPr>
        <w:t>Also</w:t>
      </w:r>
      <w:r w:rsidRPr="00396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6F4A">
        <w:rPr>
          <w:rFonts w:ascii="Times New Roman" w:hAnsi="Times New Roman" w:cs="Times New Roman"/>
          <w:sz w:val="24"/>
          <w:szCs w:val="24"/>
        </w:rPr>
        <w:t>t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o assess the importance of </w:t>
      </w:r>
      <w:r w:rsidR="009D4763" w:rsidRPr="00396F4A">
        <w:rPr>
          <w:rFonts w:ascii="Times New Roman" w:hAnsi="Times New Roman" w:cs="Times New Roman"/>
          <w:sz w:val="24"/>
          <w:szCs w:val="24"/>
        </w:rPr>
        <w:t xml:space="preserve">AGE, 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IFE </w:t>
      </w:r>
      <w:r w:rsidR="009D4763" w:rsidRPr="00396F4A">
        <w:rPr>
          <w:rFonts w:ascii="Times New Roman" w:hAnsi="Times New Roman" w:cs="Times New Roman"/>
          <w:sz w:val="24"/>
          <w:szCs w:val="24"/>
        </w:rPr>
        <w:t xml:space="preserve">and Free </w:t>
      </w:r>
      <w:r w:rsidR="00D660A7" w:rsidRPr="00396F4A">
        <w:rPr>
          <w:rFonts w:ascii="Times New Roman" w:hAnsi="Times New Roman" w:cs="Times New Roman"/>
          <w:sz w:val="24"/>
          <w:szCs w:val="24"/>
        </w:rPr>
        <w:t>Light</w:t>
      </w:r>
      <w:r w:rsidR="009D4763" w:rsidRPr="00396F4A">
        <w:rPr>
          <w:rFonts w:ascii="Times New Roman" w:hAnsi="Times New Roman" w:cs="Times New Roman"/>
          <w:sz w:val="24"/>
          <w:szCs w:val="24"/>
        </w:rPr>
        <w:t xml:space="preserve"> Chain (FLC) 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in comparison with </w:t>
      </w:r>
      <w:r w:rsidR="00F726AF" w:rsidRPr="00396F4A">
        <w:rPr>
          <w:rFonts w:ascii="Times New Roman" w:hAnsi="Times New Roman" w:cs="Times New Roman"/>
          <w:sz w:val="24"/>
          <w:szCs w:val="24"/>
        </w:rPr>
        <w:t>CE</w:t>
      </w:r>
      <w:r w:rsidR="001350A0" w:rsidRPr="00396F4A">
        <w:rPr>
          <w:rFonts w:ascii="Times New Roman" w:hAnsi="Times New Roman" w:cs="Times New Roman"/>
          <w:sz w:val="24"/>
          <w:szCs w:val="24"/>
        </w:rPr>
        <w:t xml:space="preserve"> to </w:t>
      </w:r>
      <w:r w:rsidR="001350A0" w:rsidRPr="00396F4A">
        <w:rPr>
          <w:rFonts w:ascii="Times New Roman" w:hAnsi="Times New Roman" w:cs="Times New Roman"/>
          <w:iCs/>
          <w:sz w:val="24"/>
          <w:szCs w:val="24"/>
        </w:rPr>
        <w:t>identify and characterize monoclonal immunoglobulins (M proteins).</w:t>
      </w:r>
      <w:r w:rsidRPr="00396F4A">
        <w:rPr>
          <w:rFonts w:ascii="Times New Roman" w:hAnsi="Times New Roman" w:cs="Times New Roman"/>
          <w:sz w:val="24"/>
          <w:szCs w:val="24"/>
        </w:rPr>
        <w:t xml:space="preserve"> </w:t>
      </w:r>
      <w:r w:rsidR="00EC7903" w:rsidRPr="00396F4A">
        <w:rPr>
          <w:rFonts w:ascii="Times New Roman" w:hAnsi="Times New Roman" w:cs="Times New Roman"/>
          <w:sz w:val="24"/>
          <w:szCs w:val="24"/>
        </w:rPr>
        <w:t>A</w:t>
      </w:r>
      <w:r w:rsidR="006D6AF3" w:rsidRPr="00396F4A">
        <w:rPr>
          <w:rFonts w:ascii="Times New Roman" w:hAnsi="Times New Roman" w:cs="Times New Roman"/>
          <w:iCs/>
          <w:sz w:val="24"/>
          <w:szCs w:val="24"/>
        </w:rPr>
        <w:t xml:space="preserve"> retrospective </w:t>
      </w:r>
      <w:r w:rsidR="00EC7903" w:rsidRPr="00396F4A">
        <w:rPr>
          <w:rFonts w:ascii="Times New Roman" w:hAnsi="Times New Roman" w:cs="Times New Roman"/>
          <w:iCs/>
          <w:sz w:val="24"/>
          <w:szCs w:val="24"/>
        </w:rPr>
        <w:t xml:space="preserve">study with head on comparison between AGE and CE was done using 308 </w:t>
      </w:r>
      <w:r w:rsidR="000644DB" w:rsidRPr="00396F4A">
        <w:rPr>
          <w:rFonts w:ascii="Times New Roman" w:hAnsi="Times New Roman" w:cs="Times New Roman"/>
          <w:iCs/>
          <w:sz w:val="24"/>
          <w:szCs w:val="24"/>
        </w:rPr>
        <w:t>patient’s</w:t>
      </w:r>
      <w:r w:rsidR="00EC7903" w:rsidRPr="00396F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350A0" w:rsidRPr="00396F4A">
        <w:rPr>
          <w:rFonts w:ascii="Times New Roman" w:hAnsi="Times New Roman" w:cs="Times New Roman"/>
          <w:iCs/>
          <w:sz w:val="24"/>
          <w:szCs w:val="24"/>
        </w:rPr>
        <w:t xml:space="preserve">samples </w:t>
      </w:r>
      <w:r w:rsidR="006D6AF3" w:rsidRPr="00396F4A">
        <w:rPr>
          <w:rFonts w:ascii="Times New Roman" w:hAnsi="Times New Roman" w:cs="Times New Roman"/>
          <w:iCs/>
          <w:sz w:val="24"/>
          <w:szCs w:val="24"/>
        </w:rPr>
        <w:t xml:space="preserve">in December 2019 which were </w:t>
      </w:r>
      <w:r w:rsidR="00362BE7" w:rsidRPr="00396F4A">
        <w:rPr>
          <w:rFonts w:ascii="Times New Roman" w:hAnsi="Times New Roman" w:cs="Times New Roman"/>
          <w:iCs/>
          <w:sz w:val="24"/>
          <w:szCs w:val="24"/>
        </w:rPr>
        <w:t xml:space="preserve">analyzed by </w:t>
      </w:r>
      <w:r w:rsidR="006D6AF3" w:rsidRPr="00396F4A">
        <w:rPr>
          <w:rFonts w:ascii="Times New Roman" w:hAnsi="Times New Roman" w:cs="Times New Roman"/>
          <w:iCs/>
          <w:sz w:val="24"/>
          <w:szCs w:val="24"/>
        </w:rPr>
        <w:t>CE</w:t>
      </w:r>
      <w:r w:rsidR="00362BE7" w:rsidRPr="00396F4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D6AF3" w:rsidRPr="00396F4A">
        <w:rPr>
          <w:rFonts w:ascii="Times New Roman" w:hAnsi="Times New Roman" w:cs="Times New Roman"/>
          <w:iCs/>
          <w:sz w:val="24"/>
          <w:szCs w:val="24"/>
        </w:rPr>
        <w:t>IFE</w:t>
      </w:r>
      <w:r w:rsidR="004F565C" w:rsidRPr="00396F4A">
        <w:rPr>
          <w:rFonts w:ascii="Times New Roman" w:hAnsi="Times New Roman" w:cs="Times New Roman"/>
          <w:iCs/>
          <w:sz w:val="24"/>
          <w:szCs w:val="24"/>
        </w:rPr>
        <w:t>,</w:t>
      </w:r>
      <w:r w:rsidR="00362BE7" w:rsidRPr="00396F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F565C" w:rsidRPr="00396F4A">
        <w:rPr>
          <w:rFonts w:ascii="Times New Roman" w:hAnsi="Times New Roman" w:cs="Times New Roman"/>
          <w:iCs/>
          <w:sz w:val="24"/>
          <w:szCs w:val="24"/>
        </w:rPr>
        <w:t xml:space="preserve">AGE and </w:t>
      </w:r>
      <w:r w:rsidR="009D4763" w:rsidRPr="00396F4A">
        <w:rPr>
          <w:rFonts w:ascii="Times New Roman" w:hAnsi="Times New Roman" w:cs="Times New Roman"/>
          <w:iCs/>
          <w:sz w:val="24"/>
          <w:szCs w:val="24"/>
        </w:rPr>
        <w:t>FLC.</w:t>
      </w:r>
      <w:r w:rsidR="005B5BD0" w:rsidRPr="00396F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F565C" w:rsidRPr="00396F4A">
        <w:rPr>
          <w:rFonts w:ascii="Times New Roman" w:hAnsi="Times New Roman" w:cs="Times New Roman"/>
          <w:sz w:val="24"/>
          <w:szCs w:val="24"/>
        </w:rPr>
        <w:t xml:space="preserve">IFE results was considered as the gold standard and was positive for all the samples. The sensitivity of CE for detecting monoclonal immunoglobulins was </w:t>
      </w:r>
      <w:r w:rsidR="00B34768" w:rsidRPr="00396F4A">
        <w:rPr>
          <w:rFonts w:ascii="Times New Roman" w:hAnsi="Times New Roman" w:cs="Times New Roman"/>
          <w:sz w:val="24"/>
          <w:szCs w:val="24"/>
        </w:rPr>
        <w:t>89.5</w:t>
      </w:r>
      <w:r w:rsidR="004F565C" w:rsidRPr="00396F4A">
        <w:rPr>
          <w:rFonts w:ascii="Times New Roman" w:hAnsi="Times New Roman" w:cs="Times New Roman"/>
          <w:sz w:val="24"/>
          <w:szCs w:val="24"/>
        </w:rPr>
        <w:t xml:space="preserve">% and that </w:t>
      </w:r>
      <w:r w:rsidR="003A4004" w:rsidRPr="00396F4A">
        <w:rPr>
          <w:rFonts w:ascii="Times New Roman" w:hAnsi="Times New Roman" w:cs="Times New Roman"/>
          <w:sz w:val="24"/>
          <w:szCs w:val="24"/>
        </w:rPr>
        <w:t>for AGE (9</w:t>
      </w:r>
      <w:r w:rsidR="00B34768" w:rsidRPr="00396F4A">
        <w:rPr>
          <w:rFonts w:ascii="Times New Roman" w:hAnsi="Times New Roman" w:cs="Times New Roman"/>
          <w:sz w:val="24"/>
          <w:szCs w:val="24"/>
        </w:rPr>
        <w:t>3</w:t>
      </w:r>
      <w:r w:rsidR="003A4004" w:rsidRPr="00396F4A">
        <w:rPr>
          <w:rFonts w:ascii="Times New Roman" w:hAnsi="Times New Roman" w:cs="Times New Roman"/>
          <w:sz w:val="24"/>
          <w:szCs w:val="24"/>
        </w:rPr>
        <w:t>.9%)</w:t>
      </w:r>
      <w:r w:rsidRPr="00396F4A">
        <w:rPr>
          <w:rFonts w:ascii="Times New Roman" w:hAnsi="Times New Roman" w:cs="Times New Roman"/>
          <w:sz w:val="24"/>
          <w:szCs w:val="24"/>
        </w:rPr>
        <w:t xml:space="preserve">. 30 samples CE showed a very small peak and </w:t>
      </w:r>
      <w:r w:rsidR="00F65010" w:rsidRPr="00396F4A">
        <w:rPr>
          <w:rFonts w:ascii="Times New Roman" w:hAnsi="Times New Roman" w:cs="Times New Roman"/>
          <w:sz w:val="24"/>
          <w:szCs w:val="24"/>
        </w:rPr>
        <w:t>these required confirmations</w:t>
      </w:r>
      <w:r w:rsidRPr="00396F4A">
        <w:rPr>
          <w:rFonts w:ascii="Times New Roman" w:hAnsi="Times New Roman" w:cs="Times New Roman"/>
          <w:sz w:val="24"/>
          <w:szCs w:val="24"/>
        </w:rPr>
        <w:t xml:space="preserve"> of monoclonality with </w:t>
      </w:r>
      <w:r w:rsidR="00744881" w:rsidRPr="00396F4A">
        <w:rPr>
          <w:rFonts w:ascii="Times New Roman" w:hAnsi="Times New Roman" w:cs="Times New Roman"/>
          <w:sz w:val="24"/>
          <w:szCs w:val="24"/>
        </w:rPr>
        <w:t>AGE</w:t>
      </w:r>
      <w:r w:rsidR="006D32A9" w:rsidRPr="00396F4A">
        <w:rPr>
          <w:rFonts w:ascii="Times New Roman" w:hAnsi="Times New Roman" w:cs="Times New Roman"/>
          <w:sz w:val="24"/>
          <w:szCs w:val="24"/>
        </w:rPr>
        <w:t xml:space="preserve"> and IFE</w:t>
      </w:r>
      <w:r w:rsidRPr="00396F4A">
        <w:rPr>
          <w:rFonts w:ascii="Times New Roman" w:hAnsi="Times New Roman" w:cs="Times New Roman"/>
          <w:sz w:val="24"/>
          <w:szCs w:val="24"/>
        </w:rPr>
        <w:t>.</w:t>
      </w:r>
      <w:r w:rsidR="005B5BD0" w:rsidRPr="00396F4A">
        <w:rPr>
          <w:rFonts w:ascii="Times New Roman" w:hAnsi="Times New Roman" w:cs="Times New Roman"/>
          <w:sz w:val="24"/>
          <w:szCs w:val="24"/>
        </w:rPr>
        <w:t xml:space="preserve"> </w:t>
      </w:r>
      <w:r w:rsidR="004F565C" w:rsidRPr="00396F4A">
        <w:rPr>
          <w:rFonts w:ascii="Times New Roman" w:hAnsi="Times New Roman" w:cs="Times New Roman"/>
          <w:b/>
          <w:sz w:val="24"/>
          <w:szCs w:val="24"/>
        </w:rPr>
        <w:t>Conclusion</w:t>
      </w:r>
      <w:r w:rsidR="004F565C" w:rsidRPr="00396F4A">
        <w:rPr>
          <w:rFonts w:ascii="Times New Roman" w:hAnsi="Times New Roman" w:cs="Times New Roman"/>
          <w:sz w:val="24"/>
          <w:szCs w:val="24"/>
        </w:rPr>
        <w:t xml:space="preserve">: CE with slight abnormal K/L ratio and a small peak needed attention. For these samples </w:t>
      </w:r>
      <w:r w:rsidR="00744881" w:rsidRPr="00396F4A">
        <w:rPr>
          <w:rFonts w:ascii="Times New Roman" w:hAnsi="Times New Roman" w:cs="Times New Roman"/>
          <w:sz w:val="24"/>
          <w:szCs w:val="24"/>
        </w:rPr>
        <w:t xml:space="preserve">older </w:t>
      </w:r>
      <w:r w:rsidR="004F565C" w:rsidRPr="00396F4A">
        <w:rPr>
          <w:rFonts w:ascii="Times New Roman" w:hAnsi="Times New Roman" w:cs="Times New Roman"/>
          <w:sz w:val="24"/>
          <w:szCs w:val="24"/>
        </w:rPr>
        <w:t>AGE,</w:t>
      </w:r>
      <w:r w:rsidR="009D4763" w:rsidRPr="00396F4A">
        <w:rPr>
          <w:rFonts w:ascii="Times New Roman" w:hAnsi="Times New Roman" w:cs="Times New Roman"/>
          <w:sz w:val="24"/>
          <w:szCs w:val="24"/>
        </w:rPr>
        <w:t xml:space="preserve"> </w:t>
      </w:r>
      <w:r w:rsidR="004F565C" w:rsidRPr="00396F4A">
        <w:rPr>
          <w:rFonts w:ascii="Times New Roman" w:hAnsi="Times New Roman" w:cs="Times New Roman"/>
          <w:sz w:val="24"/>
          <w:szCs w:val="24"/>
        </w:rPr>
        <w:t xml:space="preserve">IFE and FLC ratio </w:t>
      </w:r>
      <w:r w:rsidR="009D4763" w:rsidRPr="00396F4A">
        <w:rPr>
          <w:rFonts w:ascii="Times New Roman" w:hAnsi="Times New Roman" w:cs="Times New Roman"/>
          <w:sz w:val="24"/>
          <w:szCs w:val="24"/>
        </w:rPr>
        <w:t xml:space="preserve">would </w:t>
      </w:r>
      <w:r w:rsidR="004F565C" w:rsidRPr="00396F4A">
        <w:rPr>
          <w:rFonts w:ascii="Times New Roman" w:hAnsi="Times New Roman" w:cs="Times New Roman"/>
          <w:sz w:val="24"/>
          <w:szCs w:val="24"/>
        </w:rPr>
        <w:t>play a very important role.</w:t>
      </w:r>
    </w:p>
    <w:p w:rsidR="00396F4A" w:rsidRDefault="00396F4A" w:rsidP="00396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396F4A" w:rsidRPr="00396F4A" w:rsidRDefault="00396F4A" w:rsidP="00396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396F4A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396F4A" w:rsidRPr="00396F4A" w:rsidRDefault="00396F4A" w:rsidP="00396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8319DE" w:rsidRDefault="00396F4A" w:rsidP="008319DE">
      <w:pPr>
        <w:pStyle w:val="NormalWeb"/>
        <w:spacing w:before="0" w:beforeAutospacing="0" w:after="0" w:afterAutospacing="0"/>
        <w:jc w:val="both"/>
      </w:pPr>
      <w:r w:rsidRPr="00396F4A">
        <w:rPr>
          <w:lang w:val="it-IT" w:eastAsia="it-IT"/>
        </w:rPr>
        <w:t>Dr. Geeta Rathnakumar has completed her PhD from Mumbai University</w:t>
      </w:r>
      <w:r w:rsidR="000644DB">
        <w:rPr>
          <w:lang w:val="it-IT" w:eastAsia="it-IT"/>
        </w:rPr>
        <w:t>.</w:t>
      </w:r>
      <w:r w:rsidRPr="00396F4A">
        <w:rPr>
          <w:lang w:val="it-IT" w:eastAsia="it-IT"/>
        </w:rPr>
        <w:t xml:space="preserve"> She is the Lab Manager of Dept of Biochemistry, Tata Memorial Hospital: </w:t>
      </w:r>
      <w:r w:rsidRPr="00396F4A">
        <w:rPr>
          <w:color w:val="222222"/>
          <w:shd w:val="clear" w:color="auto" w:fill="FFFFFF"/>
        </w:rPr>
        <w:t>the national comprehensive cancer centre for the prevention, treatment, education and research in cancer and is recognized as one of the leading cancer centres in this part of the world.</w:t>
      </w:r>
      <w:r w:rsidRPr="00396F4A">
        <w:rPr>
          <w:lang w:val="it-IT" w:eastAsia="it-IT"/>
        </w:rPr>
        <w:t xml:space="preserve"> </w:t>
      </w:r>
      <w:r w:rsidR="008319DE">
        <w:rPr>
          <w:lang w:val="it-IT" w:eastAsia="it-IT"/>
        </w:rPr>
        <w:t xml:space="preserve">She has got </w:t>
      </w:r>
      <w:r w:rsidR="008319DE" w:rsidRPr="008319DE">
        <w:rPr>
          <w:rFonts w:eastAsiaTheme="majorEastAsia"/>
          <w:color w:val="000000" w:themeColor="text1"/>
          <w:kern w:val="24"/>
        </w:rPr>
        <w:t xml:space="preserve">35 years of </w:t>
      </w:r>
      <w:r w:rsidR="008319DE" w:rsidRPr="008319DE">
        <w:rPr>
          <w:rFonts w:eastAsiaTheme="minorEastAsia"/>
          <w:color w:val="000000" w:themeColor="text1"/>
          <w:kern w:val="24"/>
        </w:rPr>
        <w:t>work experience in Clinical Biochemistry</w:t>
      </w:r>
      <w:r w:rsidR="008319DE">
        <w:rPr>
          <w:rFonts w:eastAsiaTheme="minorEastAsia"/>
          <w:color w:val="000000" w:themeColor="text1"/>
          <w:kern w:val="24"/>
        </w:rPr>
        <w:t>.</w:t>
      </w:r>
      <w:r w:rsidRPr="00396F4A">
        <w:rPr>
          <w:lang w:val="it-IT" w:eastAsia="it-IT"/>
        </w:rPr>
        <w:t>She has publi</w:t>
      </w:r>
      <w:r w:rsidR="008319DE">
        <w:rPr>
          <w:lang w:val="it-IT" w:eastAsia="it-IT"/>
        </w:rPr>
        <w:t>shed papers in reputed journals,</w:t>
      </w:r>
      <w:r w:rsidRPr="00396F4A">
        <w:rPr>
          <w:lang w:val="it-IT" w:eastAsia="it-IT"/>
        </w:rPr>
        <w:t xml:space="preserve"> </w:t>
      </w:r>
      <w:r w:rsidR="008319DE">
        <w:rPr>
          <w:rFonts w:eastAsiaTheme="minorEastAsia"/>
          <w:color w:val="000000" w:themeColor="text1"/>
          <w:kern w:val="24"/>
        </w:rPr>
        <w:t>Participated in Clinical trials.</w:t>
      </w:r>
      <w:r w:rsidR="008319DE">
        <w:t xml:space="preserve"> She has organized</w:t>
      </w:r>
      <w:r w:rsidR="008319DE">
        <w:rPr>
          <w:rFonts w:eastAsiaTheme="minorEastAsia"/>
          <w:color w:val="000000" w:themeColor="text1"/>
          <w:kern w:val="24"/>
        </w:rPr>
        <w:t xml:space="preserve"> 6 National CMEs in Clinical Biochemistry.</w:t>
      </w:r>
    </w:p>
    <w:p w:rsidR="00396F4A" w:rsidRPr="008319DE" w:rsidRDefault="008319DE" w:rsidP="008319DE">
      <w:pPr>
        <w:pStyle w:val="NormalWeb"/>
        <w:spacing w:before="0" w:beforeAutospacing="0" w:after="0" w:afterAutospacing="0"/>
      </w:pPr>
      <w:r>
        <w:rPr>
          <w:lang w:val="it-IT" w:eastAsia="it-IT"/>
        </w:rPr>
        <w:tab/>
      </w:r>
    </w:p>
    <w:p w:rsidR="000644DB" w:rsidRDefault="00396F4A" w:rsidP="00396F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396F4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396F4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Dr.</w:t>
      </w:r>
      <w:proofErr w:type="spellEnd"/>
      <w:r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Geeta</w:t>
      </w:r>
      <w:proofErr w:type="spellEnd"/>
      <w:r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Rathnakumar</w:t>
      </w:r>
      <w:proofErr w:type="spellEnd"/>
      <w:r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number:+91 9869475819</w:t>
      </w:r>
    </w:p>
    <w:p w:rsidR="00396F4A" w:rsidRPr="00396F4A" w:rsidRDefault="000644DB" w:rsidP="00396F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Email ID: rathnakumarg@tmc.gov.in</w:t>
      </w:r>
      <w:r w:rsidR="00396F4A"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Session name/ number: Track 6: Electrophoresis</w:t>
      </w:r>
      <w:r w:rsidR="00396F4A"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Poster presentation</w:t>
      </w:r>
      <w:r w:rsidR="00396F4A" w:rsidRPr="00396F4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6D32A9" w:rsidRDefault="006D32A9" w:rsidP="009D47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2A9" w:rsidRPr="009D4763" w:rsidRDefault="006D32A9" w:rsidP="009D47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763" w:rsidRDefault="009D4763" w:rsidP="004F565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9D4763" w:rsidRPr="004F565C" w:rsidRDefault="009D4763" w:rsidP="004F565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sectPr w:rsidR="009D4763" w:rsidRPr="004F56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A0"/>
    <w:rsid w:val="0004790A"/>
    <w:rsid w:val="000644DB"/>
    <w:rsid w:val="001350A0"/>
    <w:rsid w:val="00177EE5"/>
    <w:rsid w:val="00362BE7"/>
    <w:rsid w:val="00396F4A"/>
    <w:rsid w:val="003A4004"/>
    <w:rsid w:val="004D1172"/>
    <w:rsid w:val="004F0152"/>
    <w:rsid w:val="004F565C"/>
    <w:rsid w:val="005B5BD0"/>
    <w:rsid w:val="006D32A9"/>
    <w:rsid w:val="006D6AF3"/>
    <w:rsid w:val="00744881"/>
    <w:rsid w:val="007F1D7F"/>
    <w:rsid w:val="008319DE"/>
    <w:rsid w:val="009D4763"/>
    <w:rsid w:val="00AE2259"/>
    <w:rsid w:val="00AF6CCC"/>
    <w:rsid w:val="00B34768"/>
    <w:rsid w:val="00B75AFC"/>
    <w:rsid w:val="00C06DF0"/>
    <w:rsid w:val="00CC664A"/>
    <w:rsid w:val="00D660A7"/>
    <w:rsid w:val="00EC7903"/>
    <w:rsid w:val="00F65010"/>
    <w:rsid w:val="00F7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78569"/>
  <w15:chartTrackingRefBased/>
  <w15:docId w15:val="{83B6E8E3-6D56-4283-B210-4881B15E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0A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15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31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2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200138</dc:creator>
  <cp:keywords/>
  <dc:description/>
  <cp:lastModifiedBy>200138</cp:lastModifiedBy>
  <cp:revision>5</cp:revision>
  <cp:lastPrinted>2020-01-24T16:11:00Z</cp:lastPrinted>
  <dcterms:created xsi:type="dcterms:W3CDTF">2020-01-25T16:57:00Z</dcterms:created>
  <dcterms:modified xsi:type="dcterms:W3CDTF">2020-01-25T17:08:00Z</dcterms:modified>
</cp:coreProperties>
</file>