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0E3C7" w14:textId="77777777" w:rsidR="00E233EF" w:rsidRDefault="00E233EF"/>
    <w:p w14:paraId="2E0F289A" w14:textId="664D1E52" w:rsidR="001D0D2B" w:rsidRPr="000F19E2" w:rsidRDefault="001D0D2B" w:rsidP="001D0D2B">
      <w:pPr>
        <w:rPr>
          <w:b/>
          <w:bCs/>
          <w:i/>
          <w:iCs/>
          <w:sz w:val="32"/>
          <w:szCs w:val="32"/>
        </w:rPr>
      </w:pPr>
      <w:r w:rsidRPr="000F19E2">
        <w:rPr>
          <w:b/>
          <w:bCs/>
          <w:i/>
          <w:iCs/>
          <w:sz w:val="50"/>
          <w:szCs w:val="50"/>
        </w:rPr>
        <w:t>Excellence in Professional Peak Performance</w:t>
      </w:r>
      <w:r w:rsidRPr="00D41FE2">
        <w:rPr>
          <w:b/>
          <w:bCs/>
          <w:i/>
          <w:iCs/>
          <w:sz w:val="48"/>
          <w:szCs w:val="48"/>
        </w:rPr>
        <w:t xml:space="preserve"> </w:t>
      </w:r>
      <w:r w:rsidR="000F19E2">
        <w:rPr>
          <w:b/>
          <w:bCs/>
          <w:i/>
          <w:iCs/>
          <w:sz w:val="48"/>
          <w:szCs w:val="48"/>
        </w:rPr>
        <w:t xml:space="preserve">  </w:t>
      </w:r>
      <w:r w:rsidR="000F19E2" w:rsidRPr="000F19E2">
        <w:rPr>
          <w:i/>
          <w:iCs/>
          <w:sz w:val="32"/>
          <w:szCs w:val="32"/>
        </w:rPr>
        <w:t>“</w:t>
      </w:r>
      <w:r w:rsidRPr="000F19E2">
        <w:rPr>
          <w:b/>
          <w:bCs/>
          <w:i/>
          <w:iCs/>
          <w:sz w:val="32"/>
          <w:szCs w:val="32"/>
        </w:rPr>
        <w:t>Hope to Believe and a Goal to Achieve</w:t>
      </w:r>
      <w:r w:rsidR="000F19E2" w:rsidRPr="000F19E2">
        <w:rPr>
          <w:b/>
          <w:bCs/>
          <w:i/>
          <w:iCs/>
          <w:sz w:val="32"/>
          <w:szCs w:val="32"/>
        </w:rPr>
        <w:t>”</w:t>
      </w:r>
    </w:p>
    <w:p w14:paraId="16957796" w14:textId="08EC92B8" w:rsidR="001D0D2B" w:rsidRPr="000F19E2" w:rsidRDefault="001D0D2B" w:rsidP="00447F0C">
      <w:pPr>
        <w:jc w:val="both"/>
        <w:rPr>
          <w:b/>
          <w:bCs/>
          <w:i/>
          <w:iCs/>
          <w:sz w:val="28"/>
          <w:szCs w:val="28"/>
        </w:rPr>
      </w:pPr>
      <w:bookmarkStart w:id="0" w:name="_Hlk28378821"/>
      <w:r w:rsidRPr="000F19E2">
        <w:rPr>
          <w:b/>
          <w:bCs/>
          <w:i/>
          <w:iCs/>
          <w:sz w:val="28"/>
          <w:szCs w:val="28"/>
        </w:rPr>
        <w:t xml:space="preserve"> Ashraf EL-Molla,</w:t>
      </w:r>
      <w:r w:rsidR="000F19E2" w:rsidRPr="000F19E2">
        <w:rPr>
          <w:b/>
          <w:bCs/>
          <w:i/>
          <w:iCs/>
          <w:sz w:val="28"/>
          <w:szCs w:val="28"/>
        </w:rPr>
        <w:t xml:space="preserve"> MB, BCh,</w:t>
      </w:r>
      <w:r w:rsidRPr="000F19E2">
        <w:rPr>
          <w:b/>
          <w:bCs/>
          <w:i/>
          <w:iCs/>
          <w:sz w:val="28"/>
          <w:szCs w:val="28"/>
        </w:rPr>
        <w:t xml:space="preserve"> MSc, MD</w:t>
      </w:r>
    </w:p>
    <w:p w14:paraId="76C55111" w14:textId="7EDEA53F" w:rsidR="000F19E2" w:rsidRPr="000F19E2" w:rsidRDefault="000F19E2" w:rsidP="00447F0C">
      <w:pPr>
        <w:jc w:val="both"/>
        <w:rPr>
          <w:b/>
          <w:bCs/>
          <w:i/>
          <w:iCs/>
          <w:sz w:val="28"/>
          <w:szCs w:val="28"/>
        </w:rPr>
      </w:pPr>
      <w:r w:rsidRPr="000F19E2">
        <w:rPr>
          <w:b/>
          <w:bCs/>
          <w:i/>
          <w:iCs/>
          <w:sz w:val="28"/>
          <w:szCs w:val="28"/>
        </w:rPr>
        <w:t>Misr University for Science and Technology</w:t>
      </w:r>
    </w:p>
    <w:bookmarkEnd w:id="0"/>
    <w:p w14:paraId="7F196E96" w14:textId="77777777" w:rsidR="001D0D2B" w:rsidRPr="00447F0C" w:rsidRDefault="001D0D2B" w:rsidP="000C5015">
      <w:pPr>
        <w:jc w:val="mediumKashida"/>
        <w:rPr>
          <w:rFonts w:asciiTheme="minorBidi" w:hAnsiTheme="minorBidi" w:cstheme="minorBidi"/>
          <w:b/>
          <w:bCs/>
          <w:sz w:val="24"/>
          <w:szCs w:val="24"/>
        </w:rPr>
      </w:pPr>
      <w:r w:rsidRPr="00447F0C">
        <w:rPr>
          <w:rFonts w:ascii="Arial Black" w:hAnsi="Arial Black"/>
          <w:b/>
          <w:bCs/>
          <w:sz w:val="24"/>
          <w:szCs w:val="24"/>
        </w:rPr>
        <w:t xml:space="preserve"> </w:t>
      </w:r>
      <w:r w:rsidRPr="00447F0C">
        <w:rPr>
          <w:rFonts w:asciiTheme="minorBidi" w:hAnsiTheme="minorBidi" w:cstheme="minorBidi"/>
          <w:b/>
          <w:bCs/>
          <w:sz w:val="24"/>
          <w:szCs w:val="24"/>
        </w:rPr>
        <w:t>We have crises of professionalism in the practice of medicine as depersonalization and deprofessionalization undermine humanism.  The “first do no harm” principal enunciated by Hippocrates more than 2400 years ago is violated. Health care system is risky domain as the third leading cause of death in America is medical errors, and</w:t>
      </w:r>
      <w:r w:rsidR="00A3769B" w:rsidRPr="00447F0C">
        <w:rPr>
          <w:rFonts w:asciiTheme="minorBidi" w:hAnsiTheme="minorBidi" w:cstheme="minorBidi"/>
          <w:b/>
          <w:bCs/>
          <w:sz w:val="24"/>
          <w:szCs w:val="24"/>
        </w:rPr>
        <w:t>, half of the mortalities are</w:t>
      </w:r>
      <w:r w:rsidRPr="00447F0C">
        <w:rPr>
          <w:rFonts w:asciiTheme="minorBidi" w:hAnsiTheme="minorBidi" w:cstheme="minorBidi"/>
          <w:b/>
          <w:bCs/>
          <w:sz w:val="24"/>
          <w:szCs w:val="24"/>
        </w:rPr>
        <w:t xml:space="preserve"> in the operating room (OR), intensive care unit (ICU), as well as in emergency department (ER). Superior knowledge and clinical skills are not sufficient in themselves; as achievement of excellence and professionalism depends on successful interplay of individuals’ personal qualities and the environment in which they work. </w:t>
      </w:r>
    </w:p>
    <w:p w14:paraId="0DB45A12" w14:textId="0D71F242" w:rsidR="00E233EF" w:rsidRPr="00447F0C" w:rsidRDefault="000C5015" w:rsidP="000C5015">
      <w:pPr>
        <w:jc w:val="mediumKashida"/>
        <w:rPr>
          <w:rFonts w:asciiTheme="minorBidi" w:hAnsiTheme="minorBidi" w:cstheme="minorBidi"/>
          <w:b/>
          <w:bCs/>
          <w:sz w:val="24"/>
          <w:szCs w:val="24"/>
        </w:rPr>
      </w:pPr>
      <w:r>
        <w:rPr>
          <w:rFonts w:asciiTheme="minorBidi" w:hAnsiTheme="minorBidi" w:cstheme="minorBidi"/>
          <w:b/>
          <w:bCs/>
          <w:sz w:val="24"/>
          <w:szCs w:val="24"/>
        </w:rPr>
        <w:t xml:space="preserve">Excellence, </w:t>
      </w:r>
      <w:r w:rsidR="001D0D2B" w:rsidRPr="00447F0C">
        <w:rPr>
          <w:rFonts w:asciiTheme="minorBidi" w:hAnsiTheme="minorBidi" w:cstheme="minorBidi"/>
          <w:b/>
          <w:bCs/>
          <w:sz w:val="24"/>
          <w:szCs w:val="24"/>
        </w:rPr>
        <w:t xml:space="preserve">professionalism, </w:t>
      </w:r>
      <w:r w:rsidRPr="00447F0C">
        <w:rPr>
          <w:rFonts w:asciiTheme="minorBidi" w:hAnsiTheme="minorBidi" w:cstheme="minorBidi"/>
          <w:b/>
          <w:bCs/>
          <w:sz w:val="24"/>
          <w:szCs w:val="24"/>
        </w:rPr>
        <w:t>and peak</w:t>
      </w:r>
      <w:r>
        <w:rPr>
          <w:rFonts w:asciiTheme="minorBidi" w:hAnsiTheme="minorBidi" w:cstheme="minorBidi"/>
          <w:b/>
          <w:bCs/>
          <w:sz w:val="24"/>
          <w:szCs w:val="24"/>
        </w:rPr>
        <w:t xml:space="preserve"> </w:t>
      </w:r>
      <w:r w:rsidR="001D0D2B" w:rsidRPr="00447F0C">
        <w:rPr>
          <w:rFonts w:asciiTheme="minorBidi" w:hAnsiTheme="minorBidi" w:cstheme="minorBidi"/>
          <w:b/>
          <w:bCs/>
          <w:sz w:val="24"/>
          <w:szCs w:val="24"/>
        </w:rPr>
        <w:t>performance</w:t>
      </w:r>
      <w:r>
        <w:rPr>
          <w:rFonts w:asciiTheme="minorBidi" w:hAnsiTheme="minorBidi" w:cstheme="minorBidi"/>
          <w:b/>
          <w:bCs/>
          <w:sz w:val="24"/>
          <w:szCs w:val="24"/>
        </w:rPr>
        <w:t xml:space="preserve"> </w:t>
      </w:r>
      <w:r w:rsidR="001D0D2B" w:rsidRPr="00447F0C">
        <w:rPr>
          <w:rFonts w:asciiTheme="minorBidi" w:hAnsiTheme="minorBidi" w:cstheme="minorBidi"/>
          <w:b/>
          <w:bCs/>
          <w:sz w:val="24"/>
          <w:szCs w:val="24"/>
        </w:rPr>
        <w:t>are poorly defined and rarely incorporated into clinical and anesthetic</w:t>
      </w:r>
      <w:r>
        <w:rPr>
          <w:rFonts w:asciiTheme="minorBidi" w:hAnsiTheme="minorBidi" w:cstheme="minorBidi"/>
          <w:b/>
          <w:bCs/>
          <w:sz w:val="24"/>
          <w:szCs w:val="24"/>
        </w:rPr>
        <w:t xml:space="preserve"> </w:t>
      </w:r>
      <w:r w:rsidR="00BA4DD1">
        <w:rPr>
          <w:rFonts w:asciiTheme="minorBidi" w:hAnsiTheme="minorBidi" w:cstheme="minorBidi"/>
          <w:b/>
          <w:bCs/>
          <w:sz w:val="24"/>
          <w:szCs w:val="24"/>
        </w:rPr>
        <w:t>curriculum.</w:t>
      </w:r>
      <w:r w:rsidR="00BA4DD1" w:rsidRPr="00447F0C">
        <w:rPr>
          <w:rFonts w:asciiTheme="minorBidi" w:hAnsiTheme="minorBidi" w:cstheme="minorBidi"/>
          <w:b/>
          <w:bCs/>
          <w:sz w:val="24"/>
          <w:szCs w:val="24"/>
        </w:rPr>
        <w:t xml:space="preserve"> We</w:t>
      </w:r>
      <w:r w:rsidR="001D0D2B" w:rsidRPr="00447F0C">
        <w:rPr>
          <w:rFonts w:asciiTheme="minorBidi" w:hAnsiTheme="minorBidi" w:cstheme="minorBidi"/>
          <w:b/>
          <w:bCs/>
          <w:sz w:val="24"/>
          <w:szCs w:val="24"/>
        </w:rPr>
        <w:t xml:space="preserve"> will explain concepts of excellence, professionalism and peak performance in high risk domains and in the specialty of anesthesia</w:t>
      </w:r>
      <w:r w:rsidR="001B6704">
        <w:rPr>
          <w:rFonts w:asciiTheme="minorBidi" w:hAnsiTheme="minorBidi" w:cstheme="minorBidi"/>
          <w:b/>
          <w:bCs/>
          <w:sz w:val="24"/>
          <w:szCs w:val="24"/>
        </w:rPr>
        <w:t xml:space="preserve"> and surgery.</w:t>
      </w:r>
    </w:p>
    <w:p w14:paraId="5AF01577" w14:textId="77777777" w:rsidR="00E233EF" w:rsidRDefault="004B5782" w:rsidP="000C5015">
      <w:pPr>
        <w:jc w:val="mediumKashida"/>
        <w:rPr>
          <w:rFonts w:asciiTheme="minorBidi" w:hAnsiTheme="minorBidi" w:cstheme="minorBidi"/>
          <w:b/>
          <w:bCs/>
          <w:sz w:val="24"/>
          <w:szCs w:val="24"/>
        </w:rPr>
      </w:pPr>
      <w:r w:rsidRPr="00447F0C">
        <w:rPr>
          <w:rFonts w:asciiTheme="minorBidi" w:hAnsiTheme="minorBidi" w:cstheme="minorBidi"/>
          <w:b/>
          <w:bCs/>
          <w:sz w:val="24"/>
          <w:szCs w:val="24"/>
        </w:rPr>
        <w:t>We will try to counteract this</w:t>
      </w:r>
      <w:r w:rsidR="00E233EF" w:rsidRPr="00447F0C">
        <w:rPr>
          <w:rFonts w:asciiTheme="minorBidi" w:hAnsiTheme="minorBidi" w:cstheme="minorBidi"/>
          <w:b/>
          <w:bCs/>
          <w:sz w:val="24"/>
          <w:szCs w:val="24"/>
        </w:rPr>
        <w:t xml:space="preserve"> defect in health care system through a Multi-Dimensional Protective Vision (MDPV) which is composed of </w:t>
      </w:r>
      <w:r w:rsidR="001D0D2B" w:rsidRPr="00447F0C">
        <w:rPr>
          <w:rFonts w:asciiTheme="minorBidi" w:hAnsiTheme="minorBidi" w:cstheme="minorBidi"/>
          <w:b/>
          <w:bCs/>
          <w:sz w:val="24"/>
          <w:szCs w:val="24"/>
        </w:rPr>
        <w:t>knowledge</w:t>
      </w:r>
      <w:r w:rsidR="00A3769B" w:rsidRPr="00447F0C">
        <w:rPr>
          <w:rFonts w:asciiTheme="minorBidi" w:hAnsiTheme="minorBidi" w:cstheme="minorBidi"/>
          <w:b/>
          <w:bCs/>
          <w:sz w:val="24"/>
          <w:szCs w:val="24"/>
        </w:rPr>
        <w:t xml:space="preserve"> of human factors, </w:t>
      </w:r>
      <w:r w:rsidRPr="00447F0C">
        <w:rPr>
          <w:rFonts w:asciiTheme="minorBidi" w:hAnsiTheme="minorBidi" w:cstheme="minorBidi"/>
          <w:b/>
          <w:bCs/>
          <w:sz w:val="24"/>
          <w:szCs w:val="24"/>
        </w:rPr>
        <w:t xml:space="preserve">catalogue </w:t>
      </w:r>
      <w:r w:rsidR="001D0D2B" w:rsidRPr="00447F0C">
        <w:rPr>
          <w:rFonts w:asciiTheme="minorBidi" w:hAnsiTheme="minorBidi" w:cstheme="minorBidi"/>
          <w:b/>
          <w:bCs/>
          <w:sz w:val="24"/>
          <w:szCs w:val="24"/>
        </w:rPr>
        <w:t>of common errors</w:t>
      </w:r>
      <w:r w:rsidR="00A3769B" w:rsidRPr="00447F0C">
        <w:rPr>
          <w:rFonts w:asciiTheme="minorBidi" w:hAnsiTheme="minorBidi" w:cstheme="minorBidi"/>
          <w:b/>
          <w:bCs/>
          <w:sz w:val="24"/>
          <w:szCs w:val="24"/>
        </w:rPr>
        <w:t xml:space="preserve"> </w:t>
      </w:r>
      <w:r w:rsidR="00E233EF" w:rsidRPr="00447F0C">
        <w:rPr>
          <w:rFonts w:asciiTheme="minorBidi" w:hAnsiTheme="minorBidi" w:cstheme="minorBidi"/>
          <w:b/>
          <w:bCs/>
          <w:sz w:val="24"/>
          <w:szCs w:val="24"/>
        </w:rPr>
        <w:t>with overemphasis on correcting cognitive errors w</w:t>
      </w:r>
      <w:r w:rsidR="003B1F42">
        <w:rPr>
          <w:rFonts w:asciiTheme="minorBidi" w:hAnsiTheme="minorBidi" w:cstheme="minorBidi"/>
          <w:b/>
          <w:bCs/>
          <w:sz w:val="24"/>
          <w:szCs w:val="24"/>
        </w:rPr>
        <w:t xml:space="preserve">hich are thought-process errors. </w:t>
      </w:r>
      <w:r w:rsidR="00E233EF" w:rsidRPr="00447F0C">
        <w:rPr>
          <w:rFonts w:asciiTheme="minorBidi" w:hAnsiTheme="minorBidi" w:cstheme="minorBidi"/>
          <w:b/>
          <w:bCs/>
          <w:sz w:val="24"/>
          <w:szCs w:val="24"/>
        </w:rPr>
        <w:t xml:space="preserve">We will define </w:t>
      </w:r>
      <w:r w:rsidR="00587881" w:rsidRPr="00447F0C">
        <w:rPr>
          <w:rFonts w:asciiTheme="minorBidi" w:hAnsiTheme="minorBidi" w:cstheme="minorBidi"/>
          <w:b/>
          <w:bCs/>
          <w:sz w:val="24"/>
          <w:szCs w:val="24"/>
        </w:rPr>
        <w:t>Non-Technical Skills (</w:t>
      </w:r>
      <w:r w:rsidR="00E233EF" w:rsidRPr="00447F0C">
        <w:rPr>
          <w:rFonts w:asciiTheme="minorBidi" w:hAnsiTheme="minorBidi" w:cstheme="minorBidi"/>
          <w:b/>
          <w:bCs/>
          <w:sz w:val="24"/>
          <w:szCs w:val="24"/>
        </w:rPr>
        <w:t>NTS) which are cognitive, behavioral and interpersonal abilities that are not specific to the expertis</w:t>
      </w:r>
      <w:r w:rsidRPr="00447F0C">
        <w:rPr>
          <w:rFonts w:asciiTheme="minorBidi" w:hAnsiTheme="minorBidi" w:cstheme="minorBidi"/>
          <w:b/>
          <w:bCs/>
          <w:sz w:val="24"/>
          <w:szCs w:val="24"/>
        </w:rPr>
        <w:t>e of one profession, but</w:t>
      </w:r>
      <w:r w:rsidR="00E233EF" w:rsidRPr="00447F0C">
        <w:rPr>
          <w:rFonts w:asciiTheme="minorBidi" w:hAnsiTheme="minorBidi" w:cstheme="minorBidi"/>
          <w:b/>
          <w:bCs/>
          <w:sz w:val="24"/>
          <w:szCs w:val="24"/>
        </w:rPr>
        <w:t xml:space="preserve"> crucial to </w:t>
      </w:r>
      <w:r w:rsidRPr="00447F0C">
        <w:rPr>
          <w:rFonts w:asciiTheme="minorBidi" w:hAnsiTheme="minorBidi" w:cstheme="minorBidi"/>
          <w:b/>
          <w:bCs/>
          <w:sz w:val="24"/>
          <w:szCs w:val="24"/>
        </w:rPr>
        <w:t xml:space="preserve">safety. </w:t>
      </w:r>
      <w:r w:rsidR="00E233EF" w:rsidRPr="00447F0C">
        <w:rPr>
          <w:rFonts w:asciiTheme="minorBidi" w:hAnsiTheme="minorBidi" w:cstheme="minorBidi"/>
          <w:b/>
          <w:bCs/>
          <w:sz w:val="24"/>
          <w:szCs w:val="24"/>
        </w:rPr>
        <w:t>They are expressed as: art of decision making, task management, situation awareness, communication, and team work in addition to</w:t>
      </w:r>
      <w:r w:rsidRPr="00447F0C">
        <w:rPr>
          <w:rFonts w:asciiTheme="minorBidi" w:hAnsiTheme="minorBidi" w:cstheme="minorBidi"/>
          <w:b/>
          <w:bCs/>
          <w:sz w:val="24"/>
          <w:szCs w:val="24"/>
        </w:rPr>
        <w:t xml:space="preserve"> stress management. We will</w:t>
      </w:r>
      <w:r w:rsidR="00E233EF" w:rsidRPr="00447F0C">
        <w:rPr>
          <w:rFonts w:asciiTheme="minorBidi" w:hAnsiTheme="minorBidi" w:cstheme="minorBidi"/>
          <w:b/>
          <w:bCs/>
          <w:sz w:val="24"/>
          <w:szCs w:val="24"/>
        </w:rPr>
        <w:t xml:space="preserve"> explain the science of High Reliability Organization (HROs) which are those organizations like com</w:t>
      </w:r>
      <w:r w:rsidR="00587881" w:rsidRPr="00447F0C">
        <w:rPr>
          <w:rFonts w:asciiTheme="minorBidi" w:hAnsiTheme="minorBidi" w:cstheme="minorBidi"/>
          <w:b/>
          <w:bCs/>
          <w:sz w:val="24"/>
          <w:szCs w:val="24"/>
        </w:rPr>
        <w:t>mercial aviation flight</w:t>
      </w:r>
      <w:r w:rsidR="00E233EF" w:rsidRPr="00447F0C">
        <w:rPr>
          <w:rFonts w:asciiTheme="minorBidi" w:hAnsiTheme="minorBidi" w:cstheme="minorBidi"/>
          <w:b/>
          <w:bCs/>
          <w:sz w:val="24"/>
          <w:szCs w:val="24"/>
        </w:rPr>
        <w:t xml:space="preserve"> and nuclear power stations which are running high risk tasks with excellent safety records. We are going to show </w:t>
      </w:r>
      <w:r w:rsidR="00587881" w:rsidRPr="00447F0C">
        <w:rPr>
          <w:rFonts w:asciiTheme="minorBidi" w:hAnsiTheme="minorBidi" w:cstheme="minorBidi"/>
          <w:b/>
          <w:bCs/>
          <w:sz w:val="24"/>
          <w:szCs w:val="24"/>
        </w:rPr>
        <w:t xml:space="preserve">the behavioral markers of </w:t>
      </w:r>
      <w:r w:rsidR="00E233EF" w:rsidRPr="00447F0C">
        <w:rPr>
          <w:rFonts w:asciiTheme="minorBidi" w:hAnsiTheme="minorBidi" w:cstheme="minorBidi"/>
          <w:b/>
          <w:bCs/>
          <w:sz w:val="24"/>
          <w:szCs w:val="24"/>
        </w:rPr>
        <w:t>Crises Resource Management and the different coordination strategies that are used leading to improve safety profile i</w:t>
      </w:r>
      <w:r w:rsidR="00447F0C">
        <w:rPr>
          <w:rFonts w:asciiTheme="minorBidi" w:hAnsiTheme="minorBidi" w:cstheme="minorBidi"/>
          <w:b/>
          <w:bCs/>
          <w:sz w:val="24"/>
          <w:szCs w:val="24"/>
        </w:rPr>
        <w:t>n anesthetic and surgical teams.</w:t>
      </w:r>
    </w:p>
    <w:p w14:paraId="47746786" w14:textId="77777777" w:rsidR="000C5015" w:rsidRDefault="000C5015" w:rsidP="000C5015">
      <w:pPr>
        <w:jc w:val="mediumKashida"/>
        <w:rPr>
          <w:rFonts w:asciiTheme="minorBidi" w:hAnsiTheme="minorBidi" w:cstheme="minorBidi"/>
          <w:b/>
          <w:bCs/>
          <w:sz w:val="24"/>
          <w:szCs w:val="24"/>
        </w:rPr>
      </w:pPr>
    </w:p>
    <w:p w14:paraId="57B44BBB" w14:textId="77777777" w:rsidR="000C5015" w:rsidRDefault="000C5015" w:rsidP="000C5015">
      <w:pPr>
        <w:jc w:val="mediumKashida"/>
        <w:rPr>
          <w:rFonts w:asciiTheme="minorBidi" w:hAnsiTheme="minorBidi" w:cstheme="minorBidi"/>
          <w:b/>
          <w:bCs/>
          <w:sz w:val="24"/>
          <w:szCs w:val="24"/>
        </w:rPr>
      </w:pPr>
    </w:p>
    <w:p w14:paraId="3ACA2CC9" w14:textId="77777777" w:rsidR="000C5015" w:rsidRPr="00D41FE2" w:rsidRDefault="000C5015" w:rsidP="000C5015">
      <w:pPr>
        <w:rPr>
          <w:b/>
          <w:bCs/>
          <w:i/>
          <w:iCs/>
          <w:color w:val="0070C0"/>
          <w:sz w:val="36"/>
          <w:szCs w:val="36"/>
        </w:rPr>
      </w:pPr>
      <w:r w:rsidRPr="00D41FE2">
        <w:rPr>
          <w:b/>
          <w:bCs/>
          <w:i/>
          <w:iCs/>
          <w:color w:val="0070C0"/>
          <w:sz w:val="36"/>
          <w:szCs w:val="36"/>
        </w:rPr>
        <w:t>References</w:t>
      </w:r>
    </w:p>
    <w:p w14:paraId="7924EB6A" w14:textId="77777777" w:rsidR="000C5015" w:rsidRPr="00D41FE2" w:rsidRDefault="000C5015" w:rsidP="000C5015">
      <w:pPr>
        <w:jc w:val="both"/>
        <w:rPr>
          <w:b/>
          <w:bCs/>
          <w:i/>
          <w:iCs/>
          <w:sz w:val="28"/>
          <w:szCs w:val="28"/>
        </w:rPr>
      </w:pPr>
      <w:r w:rsidRPr="00D41FE2">
        <w:rPr>
          <w:b/>
          <w:bCs/>
          <w:i/>
          <w:iCs/>
          <w:sz w:val="28"/>
          <w:szCs w:val="28"/>
        </w:rPr>
        <w:t>1.David H Chestnut, M.D.: On the Road to Professionalism. Anesthesiology 2017; 126:780-6</w:t>
      </w:r>
    </w:p>
    <w:p w14:paraId="18683DE4" w14:textId="77777777" w:rsidR="000C5015" w:rsidRPr="00D41FE2" w:rsidRDefault="000C5015" w:rsidP="000C5015">
      <w:pPr>
        <w:jc w:val="both"/>
        <w:rPr>
          <w:b/>
          <w:bCs/>
          <w:i/>
          <w:iCs/>
          <w:sz w:val="28"/>
          <w:szCs w:val="28"/>
        </w:rPr>
      </w:pPr>
      <w:r w:rsidRPr="00D41FE2">
        <w:rPr>
          <w:b/>
          <w:bCs/>
          <w:i/>
          <w:iCs/>
          <w:sz w:val="28"/>
          <w:szCs w:val="28"/>
        </w:rPr>
        <w:t>2.Durarte-Ortiz G, Navarro-Varagus JR. Professionalism in Anesthesiology  training. Rev. Fac.Med. 2018;66(2):229-32</w:t>
      </w:r>
    </w:p>
    <w:p w14:paraId="721B1B62" w14:textId="727CFCCC" w:rsidR="000C5015" w:rsidRPr="00D41FE2" w:rsidRDefault="000C5015" w:rsidP="000C5015">
      <w:pPr>
        <w:jc w:val="both"/>
        <w:rPr>
          <w:b/>
          <w:bCs/>
          <w:i/>
          <w:iCs/>
          <w:sz w:val="28"/>
          <w:szCs w:val="28"/>
        </w:rPr>
      </w:pPr>
      <w:r w:rsidRPr="00D41FE2">
        <w:rPr>
          <w:b/>
          <w:bCs/>
          <w:i/>
          <w:iCs/>
          <w:sz w:val="28"/>
          <w:szCs w:val="28"/>
        </w:rPr>
        <w:t xml:space="preserve">3. Makary Martin A, Daniel </w:t>
      </w:r>
      <w:r w:rsidR="001B6704" w:rsidRPr="00D41FE2">
        <w:rPr>
          <w:b/>
          <w:bCs/>
          <w:i/>
          <w:iCs/>
          <w:sz w:val="28"/>
          <w:szCs w:val="28"/>
        </w:rPr>
        <w:t>Michael:</w:t>
      </w:r>
      <w:r w:rsidRPr="00D41FE2">
        <w:rPr>
          <w:b/>
          <w:bCs/>
          <w:i/>
          <w:iCs/>
          <w:sz w:val="28"/>
          <w:szCs w:val="28"/>
        </w:rPr>
        <w:t xml:space="preserve"> Medical Error-the third leading cause of death in US.BMJ 2016; </w:t>
      </w:r>
      <w:r w:rsidR="001B6704" w:rsidRPr="00D41FE2">
        <w:rPr>
          <w:b/>
          <w:bCs/>
          <w:i/>
          <w:iCs/>
          <w:sz w:val="28"/>
          <w:szCs w:val="28"/>
        </w:rPr>
        <w:t>353: i</w:t>
      </w:r>
      <w:r w:rsidRPr="00D41FE2">
        <w:rPr>
          <w:b/>
          <w:bCs/>
          <w:i/>
          <w:iCs/>
          <w:sz w:val="28"/>
          <w:szCs w:val="28"/>
        </w:rPr>
        <w:t>2139</w:t>
      </w:r>
      <w:bookmarkStart w:id="1" w:name="_GoBack"/>
      <w:bookmarkEnd w:id="1"/>
    </w:p>
    <w:p w14:paraId="14F66A5A" w14:textId="77777777" w:rsidR="000C5015" w:rsidRPr="00D41FE2" w:rsidRDefault="000C5015" w:rsidP="000C5015">
      <w:pPr>
        <w:jc w:val="both"/>
        <w:rPr>
          <w:b/>
          <w:bCs/>
          <w:i/>
          <w:iCs/>
          <w:sz w:val="28"/>
          <w:szCs w:val="28"/>
        </w:rPr>
      </w:pPr>
      <w:r w:rsidRPr="00D41FE2">
        <w:rPr>
          <w:b/>
          <w:bCs/>
          <w:i/>
          <w:iCs/>
          <w:sz w:val="28"/>
          <w:szCs w:val="28"/>
        </w:rPr>
        <w:t>4.</w:t>
      </w:r>
      <w:r>
        <w:rPr>
          <w:b/>
          <w:bCs/>
          <w:i/>
          <w:iCs/>
          <w:sz w:val="28"/>
          <w:szCs w:val="28"/>
        </w:rPr>
        <w:t xml:space="preserve"> </w:t>
      </w:r>
      <w:r w:rsidRPr="00D41FE2">
        <w:rPr>
          <w:b/>
          <w:bCs/>
          <w:i/>
          <w:iCs/>
          <w:sz w:val="28"/>
          <w:szCs w:val="28"/>
        </w:rPr>
        <w:t>J. Larsson: Monitoring the anesthetist in the operating theatre- professional competence and patient safety. Anaesthesia 2017,72 (suppl.),76-83</w:t>
      </w:r>
    </w:p>
    <w:p w14:paraId="4C5AB9F7" w14:textId="378C3F63" w:rsidR="000C5015" w:rsidRPr="00D41FE2" w:rsidRDefault="000C5015" w:rsidP="000C5015">
      <w:pPr>
        <w:jc w:val="both"/>
        <w:rPr>
          <w:b/>
          <w:bCs/>
          <w:i/>
          <w:iCs/>
          <w:sz w:val="28"/>
          <w:szCs w:val="28"/>
        </w:rPr>
      </w:pPr>
      <w:r w:rsidRPr="00D41FE2">
        <w:rPr>
          <w:b/>
          <w:bCs/>
          <w:i/>
          <w:iCs/>
          <w:sz w:val="28"/>
          <w:szCs w:val="28"/>
        </w:rPr>
        <w:t xml:space="preserve">5. J. Larsson and I.K. Holmstrom. How excellent anaesthtists perform in the operating </w:t>
      </w:r>
      <w:r w:rsidR="001B6704" w:rsidRPr="00D41FE2">
        <w:rPr>
          <w:b/>
          <w:bCs/>
          <w:i/>
          <w:iCs/>
          <w:sz w:val="28"/>
          <w:szCs w:val="28"/>
        </w:rPr>
        <w:t>theater</w:t>
      </w:r>
      <w:r w:rsidRPr="00D41FE2">
        <w:rPr>
          <w:b/>
          <w:bCs/>
          <w:i/>
          <w:iCs/>
          <w:sz w:val="28"/>
          <w:szCs w:val="28"/>
        </w:rPr>
        <w:t xml:space="preserve"> qualitative study on non-technical skills.</w:t>
      </w:r>
      <w:r w:rsidR="001B6704">
        <w:rPr>
          <w:b/>
          <w:bCs/>
          <w:i/>
          <w:iCs/>
          <w:sz w:val="28"/>
          <w:szCs w:val="28"/>
        </w:rPr>
        <w:t xml:space="preserve"> </w:t>
      </w:r>
      <w:r w:rsidR="001B6704" w:rsidRPr="00D41FE2">
        <w:rPr>
          <w:b/>
          <w:bCs/>
          <w:i/>
          <w:iCs/>
          <w:sz w:val="28"/>
          <w:szCs w:val="28"/>
        </w:rPr>
        <w:t>British</w:t>
      </w:r>
      <w:r w:rsidRPr="00D41FE2">
        <w:rPr>
          <w:b/>
          <w:bCs/>
          <w:i/>
          <w:iCs/>
          <w:sz w:val="28"/>
          <w:szCs w:val="28"/>
        </w:rPr>
        <w:t xml:space="preserve"> Journal of Anesthesia 2013:110(1):115-21 </w:t>
      </w:r>
    </w:p>
    <w:p w14:paraId="4F9D0635" w14:textId="77777777" w:rsidR="000C5015" w:rsidRPr="00D41FE2" w:rsidRDefault="000C5015" w:rsidP="000C5015">
      <w:pPr>
        <w:jc w:val="both"/>
        <w:rPr>
          <w:b/>
          <w:bCs/>
          <w:i/>
          <w:iCs/>
          <w:sz w:val="28"/>
          <w:szCs w:val="28"/>
        </w:rPr>
      </w:pPr>
      <w:r w:rsidRPr="00D41FE2">
        <w:rPr>
          <w:b/>
          <w:bCs/>
          <w:i/>
          <w:iCs/>
          <w:sz w:val="28"/>
          <w:szCs w:val="28"/>
        </w:rPr>
        <w:t>6.C.L. Shelton and A. F. Smith: In pursuit of excellence in anesthesia. Br J Anaeth 2013;110 (1):4-6</w:t>
      </w:r>
    </w:p>
    <w:p w14:paraId="5603F20C" w14:textId="77777777" w:rsidR="000C5015" w:rsidRPr="007B54F7" w:rsidRDefault="000C5015" w:rsidP="000C5015">
      <w:pPr>
        <w:jc w:val="both"/>
        <w:rPr>
          <w:b/>
          <w:bCs/>
          <w:i/>
          <w:iCs/>
          <w:sz w:val="28"/>
          <w:szCs w:val="28"/>
        </w:rPr>
      </w:pPr>
      <w:r>
        <w:rPr>
          <w:b/>
          <w:bCs/>
          <w:i/>
          <w:iCs/>
          <w:sz w:val="28"/>
          <w:szCs w:val="28"/>
        </w:rPr>
        <w:t>7.</w:t>
      </w:r>
      <w:r w:rsidRPr="00722809">
        <w:rPr>
          <w:b/>
          <w:bCs/>
          <w:i/>
          <w:iCs/>
          <w:sz w:val="28"/>
          <w:szCs w:val="28"/>
        </w:rPr>
        <w:t xml:space="preserve">Marjorie Podraza Stiegler. Cognitive processes in anesthesiology. Anesthesiology 2014; 120:120:204-17 </w:t>
      </w:r>
    </w:p>
    <w:p w14:paraId="7069AB8B" w14:textId="77777777" w:rsidR="000C5015" w:rsidRDefault="000C5015" w:rsidP="000C5015">
      <w:pPr>
        <w:jc w:val="both"/>
        <w:rPr>
          <w:b/>
          <w:bCs/>
          <w:i/>
          <w:iCs/>
          <w:sz w:val="28"/>
          <w:szCs w:val="28"/>
        </w:rPr>
      </w:pPr>
    </w:p>
    <w:p w14:paraId="20E6F6FF" w14:textId="77777777" w:rsidR="000C5015" w:rsidRDefault="000C5015" w:rsidP="000C5015">
      <w:pPr>
        <w:jc w:val="both"/>
        <w:rPr>
          <w:b/>
          <w:bCs/>
          <w:i/>
          <w:iCs/>
          <w:sz w:val="28"/>
          <w:szCs w:val="28"/>
        </w:rPr>
      </w:pPr>
    </w:p>
    <w:p w14:paraId="579E6615" w14:textId="77777777" w:rsidR="000C5015" w:rsidRPr="004B5D51" w:rsidRDefault="000C5015" w:rsidP="000C5015">
      <w:pPr>
        <w:jc w:val="both"/>
        <w:rPr>
          <w:b/>
          <w:bCs/>
          <w:i/>
          <w:iCs/>
          <w:sz w:val="28"/>
          <w:szCs w:val="28"/>
        </w:rPr>
      </w:pPr>
    </w:p>
    <w:p w14:paraId="72BF1E79" w14:textId="77777777" w:rsidR="000C5015" w:rsidRDefault="000C5015" w:rsidP="000C5015">
      <w:pPr>
        <w:jc w:val="mediumKashida"/>
        <w:rPr>
          <w:rFonts w:asciiTheme="minorBidi" w:hAnsiTheme="minorBidi" w:cstheme="minorBidi"/>
          <w:b/>
          <w:bCs/>
          <w:sz w:val="24"/>
          <w:szCs w:val="24"/>
        </w:rPr>
      </w:pPr>
    </w:p>
    <w:p w14:paraId="290108E9" w14:textId="77777777" w:rsidR="000C5015" w:rsidRPr="00447F0C" w:rsidRDefault="000C5015" w:rsidP="000C5015">
      <w:pPr>
        <w:jc w:val="mediumKashida"/>
        <w:rPr>
          <w:rFonts w:asciiTheme="minorBidi" w:hAnsiTheme="minorBidi" w:cstheme="minorBidi"/>
          <w:b/>
          <w:bCs/>
          <w:sz w:val="24"/>
          <w:szCs w:val="24"/>
        </w:rPr>
      </w:pPr>
    </w:p>
    <w:p w14:paraId="27BF9D5A" w14:textId="77777777" w:rsidR="00E233EF" w:rsidRPr="00447F0C" w:rsidRDefault="00E233EF">
      <w:pPr>
        <w:rPr>
          <w:rFonts w:ascii="Arial Black" w:hAnsi="Arial Black"/>
          <w:b/>
          <w:bCs/>
          <w:sz w:val="24"/>
          <w:szCs w:val="24"/>
        </w:rPr>
      </w:pPr>
    </w:p>
    <w:sectPr w:rsidR="00E233EF" w:rsidRPr="00447F0C" w:rsidSect="0048158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75297" w14:textId="77777777" w:rsidR="00A1285A" w:rsidRDefault="00A1285A" w:rsidP="000C5015">
      <w:pPr>
        <w:spacing w:after="0" w:line="240" w:lineRule="auto"/>
      </w:pPr>
      <w:r>
        <w:separator/>
      </w:r>
    </w:p>
  </w:endnote>
  <w:endnote w:type="continuationSeparator" w:id="0">
    <w:p w14:paraId="2925FC7B" w14:textId="77777777" w:rsidR="00A1285A" w:rsidRDefault="00A1285A" w:rsidP="000C5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74066"/>
      <w:docPartObj>
        <w:docPartGallery w:val="Page Numbers (Bottom of Page)"/>
        <w:docPartUnique/>
      </w:docPartObj>
    </w:sdtPr>
    <w:sdtEndPr/>
    <w:sdtContent>
      <w:p w14:paraId="77189557" w14:textId="77777777" w:rsidR="000C5015" w:rsidRDefault="001B6704">
        <w:pPr>
          <w:pStyle w:val="Footer"/>
          <w:jc w:val="right"/>
        </w:pPr>
        <w:r>
          <w:fldChar w:fldCharType="begin"/>
        </w:r>
        <w:r>
          <w:instrText xml:space="preserve"> PAGE   \* MERGEFORMAT </w:instrText>
        </w:r>
        <w:r>
          <w:fldChar w:fldCharType="separate"/>
        </w:r>
        <w:r w:rsidR="003B1F42">
          <w:rPr>
            <w:noProof/>
          </w:rPr>
          <w:t>1</w:t>
        </w:r>
        <w:r>
          <w:rPr>
            <w:noProof/>
          </w:rPr>
          <w:fldChar w:fldCharType="end"/>
        </w:r>
      </w:p>
    </w:sdtContent>
  </w:sdt>
  <w:p w14:paraId="05262F62" w14:textId="77777777" w:rsidR="000C5015" w:rsidRDefault="000C5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43CD7" w14:textId="77777777" w:rsidR="00A1285A" w:rsidRDefault="00A1285A" w:rsidP="000C5015">
      <w:pPr>
        <w:spacing w:after="0" w:line="240" w:lineRule="auto"/>
      </w:pPr>
      <w:r>
        <w:separator/>
      </w:r>
    </w:p>
  </w:footnote>
  <w:footnote w:type="continuationSeparator" w:id="0">
    <w:p w14:paraId="3BA93124" w14:textId="77777777" w:rsidR="00A1285A" w:rsidRDefault="00A1285A" w:rsidP="000C50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33EF"/>
    <w:rsid w:val="000C5015"/>
    <w:rsid w:val="000F19E2"/>
    <w:rsid w:val="001B6704"/>
    <w:rsid w:val="001D0D2B"/>
    <w:rsid w:val="003B1F42"/>
    <w:rsid w:val="004141C8"/>
    <w:rsid w:val="00447F0C"/>
    <w:rsid w:val="00481582"/>
    <w:rsid w:val="004B5782"/>
    <w:rsid w:val="00587881"/>
    <w:rsid w:val="00790743"/>
    <w:rsid w:val="0093496B"/>
    <w:rsid w:val="00A1285A"/>
    <w:rsid w:val="00A3769B"/>
    <w:rsid w:val="00BA4DD1"/>
    <w:rsid w:val="00E23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DC33"/>
  <w15:docId w15:val="{52B727E8-6636-4148-9018-B9414DC0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3EF"/>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C501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5015"/>
    <w:rPr>
      <w:rFonts w:ascii="Calibri" w:eastAsia="Calibri" w:hAnsi="Calibri" w:cs="Arial"/>
    </w:rPr>
  </w:style>
  <w:style w:type="paragraph" w:styleId="Footer">
    <w:name w:val="footer"/>
    <w:basedOn w:val="Normal"/>
    <w:link w:val="FooterChar"/>
    <w:uiPriority w:val="99"/>
    <w:unhideWhenUsed/>
    <w:rsid w:val="000C5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15"/>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Ashraf Mohamed</cp:lastModifiedBy>
  <cp:revision>4</cp:revision>
  <dcterms:created xsi:type="dcterms:W3CDTF">2019-01-27T21:24:00Z</dcterms:created>
  <dcterms:modified xsi:type="dcterms:W3CDTF">2019-12-27T19:47:00Z</dcterms:modified>
</cp:coreProperties>
</file>