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54F" w:rsidRPr="001F060D" w:rsidRDefault="00B0054F" w:rsidP="001F060D">
      <w:pPr>
        <w:spacing w:line="240" w:lineRule="auto"/>
        <w:jc w:val="both"/>
        <w:rPr>
          <w:rFonts w:ascii="Times New Roman" w:eastAsia="Times New Roman" w:hAnsi="Times New Roman" w:cs="Times New Roman"/>
          <w:color w:val="000000"/>
        </w:rPr>
      </w:pPr>
      <w:r w:rsidRPr="001F060D">
        <w:rPr>
          <w:rFonts w:ascii="Times New Roman" w:hAnsi="Times New Roman" w:cs="Times New Roman"/>
          <w:b/>
        </w:rPr>
        <w:t>Title:</w:t>
      </w:r>
      <w:r w:rsidRPr="001F060D">
        <w:rPr>
          <w:rFonts w:ascii="Times New Roman" w:hAnsi="Times New Roman" w:cs="Times New Roman"/>
          <w:color w:val="C0504D" w:themeColor="accent2"/>
        </w:rPr>
        <w:t xml:space="preserve"> </w:t>
      </w:r>
      <w:r w:rsidRPr="001F060D">
        <w:rPr>
          <w:rFonts w:ascii="Times New Roman" w:eastAsia="Times New Roman" w:hAnsi="Times New Roman" w:cs="Times New Roman"/>
          <w:color w:val="C00000"/>
        </w:rPr>
        <w:t>Perfusion Index as an indicator of successful supraclavicular block placement in orthopaedic oncology patients under general anaesthesia</w:t>
      </w:r>
      <w:r w:rsidRPr="001F060D">
        <w:rPr>
          <w:rFonts w:ascii="Times New Roman" w:eastAsia="Times New Roman" w:hAnsi="Times New Roman" w:cs="Times New Roman"/>
          <w:color w:val="000000"/>
        </w:rPr>
        <w:t> </w:t>
      </w:r>
    </w:p>
    <w:p w:rsidR="00B0054F" w:rsidRPr="001F060D" w:rsidRDefault="00B0054F" w:rsidP="001F060D">
      <w:pPr>
        <w:autoSpaceDE w:val="0"/>
        <w:autoSpaceDN w:val="0"/>
        <w:adjustRightInd w:val="0"/>
        <w:spacing w:after="0" w:line="240" w:lineRule="auto"/>
        <w:jc w:val="both"/>
        <w:rPr>
          <w:rFonts w:ascii="Times New Roman" w:hAnsi="Times New Roman" w:cs="Times New Roman"/>
        </w:rPr>
      </w:pPr>
      <w:r w:rsidRPr="001F060D">
        <w:rPr>
          <w:rFonts w:ascii="Times New Roman" w:hAnsi="Times New Roman" w:cs="Times New Roman"/>
          <w:b/>
        </w:rPr>
        <w:t>Affiliation:</w:t>
      </w:r>
      <w:r w:rsidRPr="001F060D">
        <w:rPr>
          <w:rFonts w:ascii="Times New Roman" w:hAnsi="Times New Roman" w:cs="Times New Roman"/>
        </w:rPr>
        <w:t xml:space="preserve"> Dr. Shagun Bhatia Shah; Consultant Anaesthesiologist; Rajiv Gandhi Cancer Institute and Research Centre (RGCI&amp;RC)</w:t>
      </w:r>
    </w:p>
    <w:p w:rsidR="00B0054F" w:rsidRPr="001F060D" w:rsidRDefault="00B0054F" w:rsidP="001F060D">
      <w:pPr>
        <w:autoSpaceDE w:val="0"/>
        <w:autoSpaceDN w:val="0"/>
        <w:adjustRightInd w:val="0"/>
        <w:spacing w:after="0" w:line="240" w:lineRule="auto"/>
        <w:jc w:val="both"/>
        <w:rPr>
          <w:rFonts w:ascii="Times New Roman" w:hAnsi="Times New Roman" w:cs="Times New Roman"/>
          <w:b/>
        </w:rPr>
        <w:sectPr w:rsidR="00B0054F" w:rsidRPr="001F060D" w:rsidSect="00DA47F7">
          <w:footerReference w:type="default" r:id="rId5"/>
          <w:pgSz w:w="11906" w:h="16838"/>
          <w:pgMar w:top="1440" w:right="1440" w:bottom="1440" w:left="1440" w:header="708" w:footer="708" w:gutter="0"/>
          <w:cols w:space="708"/>
          <w:docGrid w:linePitch="360"/>
        </w:sectPr>
      </w:pPr>
    </w:p>
    <w:p w:rsidR="00B0054F" w:rsidRPr="001F060D" w:rsidRDefault="00B0054F" w:rsidP="001F060D">
      <w:pPr>
        <w:autoSpaceDE w:val="0"/>
        <w:autoSpaceDN w:val="0"/>
        <w:adjustRightInd w:val="0"/>
        <w:spacing w:after="0" w:line="240" w:lineRule="auto"/>
        <w:jc w:val="both"/>
        <w:rPr>
          <w:rFonts w:ascii="Times New Roman" w:hAnsi="Times New Roman" w:cs="Times New Roman"/>
          <w:b/>
        </w:rPr>
      </w:pPr>
    </w:p>
    <w:p w:rsidR="00B0054F" w:rsidRPr="001F060D" w:rsidRDefault="00B0054F" w:rsidP="001F060D">
      <w:pPr>
        <w:autoSpaceDE w:val="0"/>
        <w:autoSpaceDN w:val="0"/>
        <w:adjustRightInd w:val="0"/>
        <w:spacing w:after="0" w:line="240" w:lineRule="auto"/>
        <w:jc w:val="both"/>
        <w:rPr>
          <w:rFonts w:ascii="Times New Roman" w:hAnsi="Times New Roman" w:cs="Times New Roman"/>
          <w:b/>
        </w:rPr>
      </w:pPr>
      <w:r w:rsidRPr="001F060D">
        <w:rPr>
          <w:rFonts w:ascii="Times New Roman" w:hAnsi="Times New Roman" w:cs="Times New Roman"/>
          <w:b/>
        </w:rPr>
        <w:t>Abstract</w:t>
      </w:r>
    </w:p>
    <w:p w:rsidR="00B0054F" w:rsidRPr="001F060D" w:rsidRDefault="00B0054F" w:rsidP="00030CB3">
      <w:pPr>
        <w:spacing w:line="240" w:lineRule="auto"/>
        <w:jc w:val="both"/>
        <w:rPr>
          <w:rFonts w:ascii="Times New Roman" w:hAnsi="Times New Roman" w:cs="Times New Roman"/>
          <w:b/>
        </w:rPr>
      </w:pPr>
      <w:r w:rsidRPr="001F060D">
        <w:rPr>
          <w:rFonts w:ascii="Times New Roman" w:hAnsi="Times New Roman" w:cs="Times New Roman"/>
          <w:b/>
        </w:rPr>
        <w:t>Statement of the problem</w:t>
      </w:r>
      <w:r w:rsidRPr="001F060D">
        <w:rPr>
          <w:rFonts w:ascii="Times New Roman" w:hAnsi="Times New Roman" w:cs="Times New Roman"/>
        </w:rPr>
        <w:t xml:space="preserve">: </w:t>
      </w:r>
      <w:r w:rsidRPr="001F060D">
        <w:rPr>
          <w:rFonts w:ascii="Times New Roman" w:hAnsi="Times New Roman" w:cs="Times New Roman"/>
          <w:color w:val="000000"/>
        </w:rPr>
        <w:t>Peripheral nerve blocks, including brachial plexus block, produce varying degrees of discomfort when administered</w:t>
      </w:r>
      <w:r w:rsidR="001F060D">
        <w:rPr>
          <w:rFonts w:ascii="Times New Roman" w:hAnsi="Times New Roman" w:cs="Times New Roman"/>
          <w:color w:val="000000"/>
        </w:rPr>
        <w:t xml:space="preserve"> to awake-</w:t>
      </w:r>
      <w:r w:rsidRPr="001F060D">
        <w:rPr>
          <w:rFonts w:ascii="Times New Roman" w:hAnsi="Times New Roman" w:cs="Times New Roman"/>
          <w:color w:val="000000"/>
        </w:rPr>
        <w:t xml:space="preserve">patients, notwithstanding any sedation given. Vasodilatation produced due to </w:t>
      </w:r>
      <w:r w:rsidR="005F1FF2">
        <w:rPr>
          <w:rFonts w:ascii="Times New Roman" w:hAnsi="Times New Roman" w:cs="Times New Roman"/>
          <w:color w:val="000000"/>
        </w:rPr>
        <w:t>block-</w:t>
      </w:r>
      <w:r w:rsidRPr="001F060D">
        <w:rPr>
          <w:rFonts w:ascii="Times New Roman" w:hAnsi="Times New Roman" w:cs="Times New Roman"/>
          <w:color w:val="000000"/>
        </w:rPr>
        <w:t xml:space="preserve">induced sympatholysis may potentially increase surgical bleed in the limb being operated. The duration of analgesia provided by brachial plexus block spans 5-7 hours while an oncosurgery generally lasts 3-4 hours. Hence, if the window period after surgery but before reversal of anaesthesia is employed for administering brachial plexus block, it bestows the triple advantage of being painless, not augmenting surgical bleed and providing greater duration of postoperative analgesia for the patient. The problem spot is that while brachial plexus block provides profound analgesia, there are no objective criteria for early assessment of onset of block in patients under general anaesthesia. In the present study, pulse co-oximetry technology was used to evaluate changes in the perfusion index(PI) in both blocked and unblocked upper limbs, for patients receiving </w:t>
      </w:r>
      <w:r w:rsidR="001F060D">
        <w:rPr>
          <w:rFonts w:ascii="Times New Roman" w:hAnsi="Times New Roman" w:cs="Times New Roman"/>
          <w:color w:val="000000"/>
        </w:rPr>
        <w:t>brachial plexus blocks for post-</w:t>
      </w:r>
      <w:r w:rsidRPr="001F060D">
        <w:rPr>
          <w:rFonts w:ascii="Times New Roman" w:hAnsi="Times New Roman" w:cs="Times New Roman"/>
          <w:color w:val="000000"/>
        </w:rPr>
        <w:t>operative pain relief after upper limb oncosurgery, before reversal of general anaesthesia.</w:t>
      </w:r>
      <w:r w:rsidRPr="001F060D">
        <w:rPr>
          <w:rFonts w:ascii="Times New Roman" w:hAnsi="Times New Roman" w:cs="Times New Roman"/>
        </w:rPr>
        <w:t xml:space="preserve"> </w:t>
      </w:r>
      <w:r w:rsidRPr="001F060D">
        <w:rPr>
          <w:rFonts w:ascii="Times New Roman" w:hAnsi="Times New Roman" w:cs="Times New Roman"/>
          <w:b/>
        </w:rPr>
        <w:t>Methodology:</w:t>
      </w:r>
      <w:r w:rsidRPr="001F060D">
        <w:rPr>
          <w:rFonts w:ascii="Times New Roman" w:hAnsi="Times New Roman" w:cs="Times New Roman"/>
        </w:rPr>
        <w:t xml:space="preserve">  </w:t>
      </w:r>
      <w:r w:rsidRPr="001F060D">
        <w:rPr>
          <w:rFonts w:ascii="Times New Roman" w:eastAsia="Times New Roman" w:hAnsi="Times New Roman" w:cs="Times New Roman"/>
          <w:color w:val="000000"/>
        </w:rPr>
        <w:t xml:space="preserve">This is a </w:t>
      </w:r>
      <w:r w:rsidR="001F060D">
        <w:rPr>
          <w:rFonts w:ascii="Times New Roman" w:eastAsia="Times New Roman" w:hAnsi="Times New Roman" w:cs="Times New Roman"/>
          <w:color w:val="000000"/>
        </w:rPr>
        <w:t>prospective, single-</w:t>
      </w:r>
      <w:r w:rsidRPr="001F060D">
        <w:rPr>
          <w:rFonts w:ascii="Times New Roman" w:eastAsia="Times New Roman" w:hAnsi="Times New Roman" w:cs="Times New Roman"/>
          <w:color w:val="000000"/>
        </w:rPr>
        <w:t>arm, single-</w:t>
      </w:r>
      <w:r w:rsidRPr="001F060D">
        <w:rPr>
          <w:rFonts w:ascii="Times New Roman" w:hAnsi="Times New Roman" w:cs="Times New Roman"/>
          <w:color w:val="000000"/>
        </w:rPr>
        <w:t>centric, observa</w:t>
      </w:r>
      <w:r w:rsidRPr="001F060D">
        <w:rPr>
          <w:rFonts w:ascii="Times New Roman" w:eastAsia="Times New Roman" w:hAnsi="Times New Roman" w:cs="Times New Roman"/>
          <w:color w:val="000000"/>
        </w:rPr>
        <w:t>tional study gauging the usefulness of pulsatility</w:t>
      </w:r>
      <w:r w:rsidRPr="001F060D">
        <w:rPr>
          <w:rFonts w:ascii="Times New Roman" w:hAnsi="Times New Roman" w:cs="Times New Roman"/>
          <w:color w:val="000000"/>
        </w:rPr>
        <w:t>/perfusion</w:t>
      </w:r>
      <w:r w:rsidRPr="001F060D">
        <w:rPr>
          <w:rFonts w:ascii="Times New Roman" w:eastAsia="Times New Roman" w:hAnsi="Times New Roman" w:cs="Times New Roman"/>
          <w:color w:val="000000"/>
        </w:rPr>
        <w:t xml:space="preserve"> index in ascertaining the establishment of supraclavicular block. Thirty ASA I-II</w:t>
      </w:r>
      <w:r w:rsidRPr="001F060D">
        <w:rPr>
          <w:rFonts w:ascii="Times New Roman" w:hAnsi="Times New Roman" w:cs="Times New Roman"/>
          <w:color w:val="000000"/>
        </w:rPr>
        <w:t>I</w:t>
      </w:r>
      <w:r w:rsidRPr="001F060D">
        <w:rPr>
          <w:rFonts w:ascii="Times New Roman" w:eastAsia="Times New Roman" w:hAnsi="Times New Roman" w:cs="Times New Roman"/>
          <w:color w:val="000000"/>
        </w:rPr>
        <w:t xml:space="preserve"> patients of either sex, aged 18 to 75 years, weighing 45 to 80kg, undergoing upper limb orthopaedic oncosurgery under general anaesthesia were included in this study conducted between May 2017 and October 2019.</w:t>
      </w:r>
      <w:r w:rsidRPr="001F060D">
        <w:rPr>
          <w:rFonts w:ascii="Times New Roman" w:hAnsi="Times New Roman" w:cs="Times New Roman"/>
          <w:b/>
        </w:rPr>
        <w:t xml:space="preserve"> </w:t>
      </w:r>
      <w:r w:rsidRPr="00030CB3">
        <w:rPr>
          <w:rFonts w:ascii="Times New Roman" w:hAnsi="Times New Roman" w:cs="Times New Roman"/>
        </w:rPr>
        <w:t>Our aim was to ascertain if any correlation exists between PI,</w:t>
      </w:r>
      <w:r w:rsidR="001F060D" w:rsidRPr="00030CB3">
        <w:rPr>
          <w:rFonts w:ascii="Times New Roman" w:hAnsi="Times New Roman" w:cs="Times New Roman"/>
        </w:rPr>
        <w:t xml:space="preserve"> and</w:t>
      </w:r>
      <w:r w:rsidRPr="00030CB3">
        <w:rPr>
          <w:rFonts w:ascii="Times New Roman" w:hAnsi="Times New Roman" w:cs="Times New Roman"/>
        </w:rPr>
        <w:t xml:space="preserve"> onset of supraclavicular block, also</w:t>
      </w:r>
      <w:r w:rsidRPr="001F060D">
        <w:rPr>
          <w:rFonts w:ascii="Times New Roman" w:hAnsi="Times New Roman" w:cs="Times New Roman"/>
        </w:rPr>
        <w:t xml:space="preserve"> between PI, and reversal of general anaesthesia and to find the strength of this correlation.</w:t>
      </w:r>
      <w:r w:rsidR="001F060D" w:rsidRPr="001F060D">
        <w:rPr>
          <w:rFonts w:ascii="Times New Roman" w:hAnsi="Times New Roman" w:cs="Times New Roman"/>
          <w:b/>
        </w:rPr>
        <w:t xml:space="preserve"> </w:t>
      </w:r>
      <w:r w:rsidRPr="001F060D">
        <w:rPr>
          <w:rFonts w:ascii="Times New Roman" w:eastAsia="Times New Roman" w:hAnsi="Times New Roman" w:cs="Times New Roman"/>
          <w:color w:val="000000"/>
        </w:rPr>
        <w:t>The primary outcome measure was PI in the blocked and unblocked upper limb at the time of su</w:t>
      </w:r>
      <w:r w:rsidR="001F060D" w:rsidRPr="001F060D">
        <w:rPr>
          <w:rFonts w:ascii="Times New Roman" w:eastAsia="Times New Roman" w:hAnsi="Times New Roman" w:cs="Times New Roman"/>
          <w:color w:val="000000"/>
        </w:rPr>
        <w:t>praclavicular block, at 2min, 3min, 5</w:t>
      </w:r>
      <w:r w:rsidRPr="001F060D">
        <w:rPr>
          <w:rFonts w:ascii="Times New Roman" w:eastAsia="Times New Roman" w:hAnsi="Times New Roman" w:cs="Times New Roman"/>
          <w:color w:val="000000"/>
        </w:rPr>
        <w:t>mi</w:t>
      </w:r>
      <w:r w:rsidR="001F060D" w:rsidRPr="001F060D">
        <w:rPr>
          <w:rFonts w:ascii="Times New Roman" w:eastAsia="Times New Roman" w:hAnsi="Times New Roman" w:cs="Times New Roman"/>
          <w:color w:val="000000"/>
        </w:rPr>
        <w:t>n and 10mins post-</w:t>
      </w:r>
      <w:r w:rsidRPr="001F060D">
        <w:rPr>
          <w:rFonts w:ascii="Times New Roman" w:eastAsia="Times New Roman" w:hAnsi="Times New Roman" w:cs="Times New Roman"/>
          <w:color w:val="000000"/>
        </w:rPr>
        <w:t>block</w:t>
      </w:r>
      <w:r w:rsidR="001F060D" w:rsidRPr="001F060D">
        <w:rPr>
          <w:rFonts w:ascii="Times New Roman" w:eastAsia="Times New Roman" w:hAnsi="Times New Roman" w:cs="Times New Roman"/>
          <w:color w:val="000000"/>
        </w:rPr>
        <w:t xml:space="preserve">, at </w:t>
      </w:r>
      <w:r w:rsidRPr="001F060D">
        <w:rPr>
          <w:rFonts w:ascii="Times New Roman" w:eastAsia="Times New Roman" w:hAnsi="Times New Roman" w:cs="Times New Roman"/>
          <w:color w:val="000000"/>
        </w:rPr>
        <w:t>reversal of gener</w:t>
      </w:r>
      <w:r w:rsidR="001F060D">
        <w:rPr>
          <w:rFonts w:ascii="Times New Roman" w:eastAsia="Times New Roman" w:hAnsi="Times New Roman" w:cs="Times New Roman"/>
          <w:color w:val="000000"/>
        </w:rPr>
        <w:t xml:space="preserve">al </w:t>
      </w:r>
      <w:r w:rsidR="001F060D">
        <w:rPr>
          <w:rFonts w:ascii="Times New Roman" w:eastAsia="Times New Roman" w:hAnsi="Times New Roman" w:cs="Times New Roman"/>
          <w:color w:val="000000"/>
        </w:rPr>
        <w:lastRenderedPageBreak/>
        <w:t>anaesthesia, and at 2</w:t>
      </w:r>
      <w:r w:rsidR="001F060D" w:rsidRPr="001F060D">
        <w:rPr>
          <w:rFonts w:ascii="Times New Roman" w:eastAsia="Times New Roman" w:hAnsi="Times New Roman" w:cs="Times New Roman"/>
          <w:color w:val="000000"/>
        </w:rPr>
        <w:t>min and 5min post-</w:t>
      </w:r>
      <w:r w:rsidRPr="001F060D">
        <w:rPr>
          <w:rFonts w:ascii="Times New Roman" w:eastAsia="Times New Roman" w:hAnsi="Times New Roman" w:cs="Times New Roman"/>
          <w:color w:val="000000"/>
        </w:rPr>
        <w:t>reversal.</w:t>
      </w:r>
    </w:p>
    <w:p w:rsidR="00B0054F" w:rsidRPr="001F060D" w:rsidRDefault="00030CB3" w:rsidP="001F060D">
      <w:pPr>
        <w:autoSpaceDE w:val="0"/>
        <w:autoSpaceDN w:val="0"/>
        <w:adjustRightInd w:val="0"/>
        <w:spacing w:after="0" w:line="240" w:lineRule="auto"/>
        <w:jc w:val="both"/>
        <w:rPr>
          <w:rFonts w:ascii="Times New Roman" w:hAnsi="Times New Roman" w:cs="Times New Roman"/>
          <w:b/>
        </w:rPr>
      </w:pPr>
      <w:r w:rsidRPr="001F060D">
        <w:rPr>
          <w:rFonts w:ascii="Times New Roman" w:hAnsi="Times New Roman" w:cs="Times New Roman"/>
          <w:b/>
        </w:rPr>
        <w:t>Image</w:t>
      </w:r>
    </w:p>
    <w:p w:rsidR="00B0054F" w:rsidRPr="001F060D" w:rsidRDefault="00B0054F" w:rsidP="001F060D">
      <w:pPr>
        <w:autoSpaceDE w:val="0"/>
        <w:autoSpaceDN w:val="0"/>
        <w:adjustRightInd w:val="0"/>
        <w:spacing w:after="0" w:line="240" w:lineRule="auto"/>
        <w:jc w:val="both"/>
        <w:rPr>
          <w:rFonts w:ascii="Times New Roman" w:hAnsi="Times New Roman" w:cs="Times New Roman"/>
          <w:b/>
        </w:rPr>
      </w:pPr>
    </w:p>
    <w:p w:rsidR="00B0054F" w:rsidRPr="001F060D" w:rsidRDefault="00030CB3" w:rsidP="001F060D">
      <w:pPr>
        <w:autoSpaceDE w:val="0"/>
        <w:autoSpaceDN w:val="0"/>
        <w:adjustRightInd w:val="0"/>
        <w:spacing w:after="0" w:line="240" w:lineRule="auto"/>
        <w:jc w:val="both"/>
        <w:rPr>
          <w:rFonts w:ascii="Times New Roman" w:hAnsi="Times New Roman" w:cs="Times New Roman"/>
          <w:b/>
        </w:rPr>
      </w:pPr>
      <w:r>
        <w:rPr>
          <w:noProof/>
        </w:rPr>
        <w:drawing>
          <wp:inline distT="0" distB="0" distL="0" distR="0">
            <wp:extent cx="2640965" cy="2849286"/>
            <wp:effectExtent l="19050" t="0" r="6985" b="0"/>
            <wp:docPr id="1" name="Picture 1" descr="C:\Users\User\AppData\Local\Microsoft\Windows\INetCache\Content.Word\Screenshot (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Screenshot (35).png"/>
                    <pic:cNvPicPr>
                      <a:picLocks noChangeAspect="1" noChangeArrowheads="1"/>
                    </pic:cNvPicPr>
                  </pic:nvPicPr>
                  <pic:blipFill>
                    <a:blip r:embed="rId6"/>
                    <a:srcRect/>
                    <a:stretch>
                      <a:fillRect/>
                    </a:stretch>
                  </pic:blipFill>
                  <pic:spPr bwMode="auto">
                    <a:xfrm>
                      <a:off x="0" y="0"/>
                      <a:ext cx="2640965" cy="2849286"/>
                    </a:xfrm>
                    <a:prstGeom prst="rect">
                      <a:avLst/>
                    </a:prstGeom>
                    <a:noFill/>
                    <a:ln w="9525">
                      <a:noFill/>
                      <a:miter lim="800000"/>
                      <a:headEnd/>
                      <a:tailEnd/>
                    </a:ln>
                  </pic:spPr>
                </pic:pic>
              </a:graphicData>
            </a:graphic>
          </wp:inline>
        </w:drawing>
      </w:r>
    </w:p>
    <w:p w:rsidR="00B0054F" w:rsidRPr="001F060D" w:rsidRDefault="00B0054F" w:rsidP="001F060D">
      <w:pPr>
        <w:autoSpaceDE w:val="0"/>
        <w:autoSpaceDN w:val="0"/>
        <w:adjustRightInd w:val="0"/>
        <w:spacing w:after="0" w:line="240" w:lineRule="auto"/>
        <w:jc w:val="both"/>
        <w:rPr>
          <w:rFonts w:ascii="Times New Roman" w:hAnsi="Times New Roman" w:cs="Times New Roman"/>
          <w:b/>
        </w:rPr>
      </w:pPr>
    </w:p>
    <w:p w:rsidR="00B0054F" w:rsidRPr="001F060D" w:rsidRDefault="00B0054F" w:rsidP="001F060D">
      <w:pPr>
        <w:autoSpaceDE w:val="0"/>
        <w:autoSpaceDN w:val="0"/>
        <w:adjustRightInd w:val="0"/>
        <w:spacing w:after="0" w:line="240" w:lineRule="auto"/>
        <w:jc w:val="both"/>
        <w:rPr>
          <w:rFonts w:ascii="Times New Roman" w:hAnsi="Times New Roman" w:cs="Times New Roman"/>
        </w:rPr>
      </w:pPr>
    </w:p>
    <w:p w:rsidR="00B0054F" w:rsidRPr="008934A2" w:rsidRDefault="00B0054F" w:rsidP="001F060D">
      <w:pPr>
        <w:autoSpaceDE w:val="0"/>
        <w:autoSpaceDN w:val="0"/>
        <w:adjustRightInd w:val="0"/>
        <w:spacing w:after="0" w:line="240" w:lineRule="auto"/>
        <w:jc w:val="both"/>
        <w:rPr>
          <w:rFonts w:ascii="Times New Roman" w:hAnsi="Times New Roman" w:cs="Times New Roman"/>
          <w:b/>
        </w:rPr>
      </w:pPr>
      <w:r w:rsidRPr="008934A2">
        <w:rPr>
          <w:rFonts w:ascii="Times New Roman" w:hAnsi="Times New Roman" w:cs="Times New Roman"/>
          <w:b/>
        </w:rPr>
        <w:t>Recent Publications</w:t>
      </w:r>
    </w:p>
    <w:p w:rsidR="00B0054F" w:rsidRPr="008934A2" w:rsidRDefault="00E47A4A" w:rsidP="00E47A4A">
      <w:pPr>
        <w:spacing w:line="240" w:lineRule="auto"/>
        <w:contextualSpacing/>
        <w:jc w:val="both"/>
        <w:rPr>
          <w:rFonts w:ascii="Times New Roman" w:hAnsi="Times New Roman" w:cs="Times New Roman"/>
          <w:sz w:val="18"/>
          <w:szCs w:val="18"/>
        </w:rPr>
      </w:pPr>
      <w:r w:rsidRPr="008934A2">
        <w:rPr>
          <w:rFonts w:ascii="Times New Roman" w:hAnsi="Times New Roman" w:cs="Times New Roman"/>
          <w:sz w:val="18"/>
          <w:szCs w:val="18"/>
        </w:rPr>
        <w:t>[1]</w:t>
      </w:r>
      <w:r w:rsidR="00B0054F" w:rsidRPr="008934A2">
        <w:rPr>
          <w:rFonts w:ascii="Times New Roman" w:hAnsi="Times New Roman" w:cs="Times New Roman"/>
          <w:sz w:val="18"/>
          <w:szCs w:val="18"/>
        </w:rPr>
        <w:t xml:space="preserve"> </w:t>
      </w:r>
      <w:r w:rsidRPr="008934A2">
        <w:rPr>
          <w:rFonts w:ascii="Times New Roman" w:hAnsi="Times New Roman" w:cs="Times New Roman"/>
          <w:sz w:val="18"/>
          <w:szCs w:val="18"/>
          <w:highlight w:val="yellow"/>
          <w:shd w:val="clear" w:color="auto" w:fill="FFFFFF"/>
        </w:rPr>
        <w:t>Shah SB</w:t>
      </w:r>
      <w:r w:rsidRPr="008934A2">
        <w:rPr>
          <w:rFonts w:ascii="Times New Roman" w:hAnsi="Times New Roman" w:cs="Times New Roman"/>
          <w:sz w:val="18"/>
          <w:szCs w:val="18"/>
          <w:shd w:val="clear" w:color="auto" w:fill="FFFFFF"/>
        </w:rPr>
        <w:t>, Hariharan U, Bhargava AK. Novel perioperative utilities of the newer co oximetery parameters: A practical review. EC Anaesth. 2016;2(5).</w:t>
      </w:r>
    </w:p>
    <w:p w:rsidR="00B0054F" w:rsidRPr="008934A2" w:rsidRDefault="00E47A4A" w:rsidP="00E47A4A">
      <w:pPr>
        <w:autoSpaceDE w:val="0"/>
        <w:autoSpaceDN w:val="0"/>
        <w:adjustRightInd w:val="0"/>
        <w:spacing w:after="0" w:line="240" w:lineRule="auto"/>
        <w:jc w:val="both"/>
        <w:rPr>
          <w:rFonts w:ascii="Times New Roman" w:hAnsi="Times New Roman" w:cs="Times New Roman"/>
          <w:sz w:val="18"/>
          <w:szCs w:val="18"/>
        </w:rPr>
      </w:pPr>
      <w:r w:rsidRPr="008934A2">
        <w:rPr>
          <w:rFonts w:ascii="Times New Roman" w:hAnsi="Times New Roman" w:cs="Times New Roman"/>
          <w:sz w:val="18"/>
          <w:szCs w:val="18"/>
        </w:rPr>
        <w:t>[2</w:t>
      </w:r>
      <w:r w:rsidR="00B0054F" w:rsidRPr="008934A2">
        <w:rPr>
          <w:rFonts w:ascii="Times New Roman" w:hAnsi="Times New Roman" w:cs="Times New Roman"/>
          <w:sz w:val="18"/>
          <w:szCs w:val="18"/>
        </w:rPr>
        <w:t xml:space="preserve">] </w:t>
      </w:r>
      <w:r w:rsidR="00B0054F" w:rsidRPr="008934A2">
        <w:rPr>
          <w:rFonts w:ascii="Times New Roman" w:hAnsi="Times New Roman" w:cs="Times New Roman"/>
          <w:sz w:val="18"/>
          <w:szCs w:val="18"/>
          <w:highlight w:val="yellow"/>
        </w:rPr>
        <w:t>Shah SB</w:t>
      </w:r>
      <w:r w:rsidR="00B0054F" w:rsidRPr="008934A2">
        <w:rPr>
          <w:rFonts w:ascii="Times New Roman" w:hAnsi="Times New Roman" w:cs="Times New Roman"/>
          <w:sz w:val="18"/>
          <w:szCs w:val="18"/>
        </w:rPr>
        <w:t>, Hariharan U et al. Noninvasive intracranial pressure monitoring via optic nerve sheath diameter for robotic surgery in steep Trendelenburg position. Saudi J Anaesth 9: 239-246, 2015</w:t>
      </w:r>
    </w:p>
    <w:p w:rsidR="00E47A4A" w:rsidRPr="008934A2" w:rsidRDefault="00E47A4A" w:rsidP="00E47A4A">
      <w:pPr>
        <w:spacing w:line="240" w:lineRule="auto"/>
        <w:contextualSpacing/>
        <w:jc w:val="both"/>
        <w:rPr>
          <w:rFonts w:ascii="Times New Roman" w:hAnsi="Times New Roman" w:cs="Times New Roman"/>
          <w:sz w:val="18"/>
          <w:szCs w:val="18"/>
        </w:rPr>
      </w:pPr>
      <w:r w:rsidRPr="008934A2">
        <w:rPr>
          <w:rFonts w:ascii="Times New Roman" w:eastAsia="Times New Roman" w:hAnsi="Times New Roman" w:cs="Times New Roman"/>
          <w:sz w:val="18"/>
          <w:szCs w:val="18"/>
        </w:rPr>
        <w:t>[3]</w:t>
      </w:r>
      <w:r w:rsidRPr="008934A2">
        <w:rPr>
          <w:rFonts w:ascii="Times New Roman" w:eastAsia="Times New Roman" w:hAnsi="Times New Roman" w:cs="Times New Roman"/>
          <w:sz w:val="18"/>
          <w:szCs w:val="18"/>
          <w:highlight w:val="yellow"/>
        </w:rPr>
        <w:t>Shah SB</w:t>
      </w:r>
      <w:r w:rsidRPr="008934A2">
        <w:rPr>
          <w:rFonts w:ascii="Times New Roman" w:eastAsia="Times New Roman" w:hAnsi="Times New Roman" w:cs="Times New Roman"/>
          <w:sz w:val="18"/>
          <w:szCs w:val="18"/>
        </w:rPr>
        <w:t xml:space="preserve">, Hariharan U,, Bhargava AK. Recent trends in anaesthesia and analgesia for breast cancer surgery. </w:t>
      </w:r>
      <w:r w:rsidRPr="008934A2">
        <w:rPr>
          <w:rFonts w:ascii="Times New Roman" w:eastAsia="Times New Roman" w:hAnsi="Times New Roman" w:cs="Times New Roman"/>
          <w:iCs/>
          <w:sz w:val="18"/>
          <w:szCs w:val="18"/>
        </w:rPr>
        <w:t>Trends in Anaesthesia and Critical Care</w:t>
      </w:r>
      <w:r w:rsidRPr="008934A2">
        <w:rPr>
          <w:rFonts w:ascii="Times New Roman" w:eastAsia="Times New Roman" w:hAnsi="Times New Roman" w:cs="Times New Roman"/>
          <w:sz w:val="18"/>
          <w:szCs w:val="18"/>
        </w:rPr>
        <w:t xml:space="preserve"> 2018 ;  20:11-20.</w:t>
      </w:r>
    </w:p>
    <w:p w:rsidR="00B0054F" w:rsidRPr="008934A2" w:rsidRDefault="00E47A4A" w:rsidP="00E47A4A">
      <w:pPr>
        <w:spacing w:line="240" w:lineRule="auto"/>
        <w:contextualSpacing/>
        <w:jc w:val="both"/>
        <w:rPr>
          <w:rFonts w:ascii="Times New Roman" w:hAnsi="Times New Roman" w:cs="Times New Roman"/>
          <w:sz w:val="18"/>
          <w:szCs w:val="18"/>
        </w:rPr>
      </w:pPr>
      <w:r w:rsidRPr="008934A2">
        <w:rPr>
          <w:rFonts w:ascii="Times New Roman" w:hAnsi="Times New Roman" w:cs="Times New Roman"/>
          <w:sz w:val="18"/>
          <w:szCs w:val="18"/>
        </w:rPr>
        <w:t xml:space="preserve">[4] </w:t>
      </w:r>
      <w:r w:rsidRPr="008934A2">
        <w:rPr>
          <w:rFonts w:ascii="Times New Roman" w:hAnsi="Times New Roman" w:cs="Times New Roman"/>
          <w:sz w:val="18"/>
          <w:szCs w:val="18"/>
          <w:highlight w:val="yellow"/>
        </w:rPr>
        <w:t>Shah SB</w:t>
      </w:r>
      <w:r w:rsidRPr="008934A2">
        <w:rPr>
          <w:rFonts w:ascii="Times New Roman" w:hAnsi="Times New Roman" w:cs="Times New Roman"/>
          <w:sz w:val="18"/>
          <w:szCs w:val="18"/>
        </w:rPr>
        <w:t>, Bhargava AK, Hariharan U, Vishvakarma G, Jain CR, Kansal A. Cardiac output monitoring: A comparative prospective observational study of the conventional cardiac output monitor Vigileo™ and the new smartphone-based application Capstesia™. Indian J Anaesth 2018;62:584-91.</w:t>
      </w:r>
    </w:p>
    <w:p w:rsidR="00E47A4A" w:rsidRPr="008934A2" w:rsidRDefault="00E47A4A" w:rsidP="00E47A4A">
      <w:pPr>
        <w:spacing w:line="240" w:lineRule="auto"/>
        <w:jc w:val="both"/>
        <w:rPr>
          <w:rFonts w:ascii="Times New Roman" w:hAnsi="Times New Roman" w:cs="Times New Roman"/>
          <w:sz w:val="18"/>
          <w:szCs w:val="18"/>
        </w:rPr>
      </w:pPr>
      <w:r w:rsidRPr="008934A2">
        <w:rPr>
          <w:rFonts w:ascii="Times New Roman" w:hAnsi="Times New Roman" w:cs="Times New Roman"/>
          <w:sz w:val="18"/>
          <w:szCs w:val="18"/>
        </w:rPr>
        <w:t>[5</w:t>
      </w:r>
      <w:r w:rsidR="00B0054F" w:rsidRPr="008934A2">
        <w:rPr>
          <w:rFonts w:ascii="Times New Roman" w:hAnsi="Times New Roman" w:cs="Times New Roman"/>
          <w:sz w:val="18"/>
          <w:szCs w:val="18"/>
        </w:rPr>
        <w:t xml:space="preserve">] </w:t>
      </w:r>
      <w:r w:rsidR="00B0054F" w:rsidRPr="008934A2">
        <w:rPr>
          <w:rFonts w:ascii="Times New Roman" w:hAnsi="Times New Roman" w:cs="Times New Roman"/>
          <w:sz w:val="18"/>
          <w:szCs w:val="18"/>
          <w:highlight w:val="yellow"/>
        </w:rPr>
        <w:t>Shah SB</w:t>
      </w:r>
      <w:r w:rsidR="00B0054F" w:rsidRPr="008934A2">
        <w:rPr>
          <w:rFonts w:ascii="Times New Roman" w:hAnsi="Times New Roman" w:cs="Times New Roman"/>
          <w:sz w:val="18"/>
          <w:szCs w:val="18"/>
        </w:rPr>
        <w:t>, Hariharan U et al. Robotic surgery and Patient Positioning: Ergonomics, Clinical Pearls and Review of Literature. Trends Anaesth Crit Care. 14: 21-29, 2017</w:t>
      </w:r>
    </w:p>
    <w:p w:rsidR="00E47A4A" w:rsidRPr="008934A2" w:rsidRDefault="00E47A4A" w:rsidP="00E47A4A">
      <w:pPr>
        <w:spacing w:line="240" w:lineRule="auto"/>
        <w:jc w:val="both"/>
        <w:rPr>
          <w:rFonts w:ascii="Times New Roman" w:hAnsi="Times New Roman" w:cs="Times New Roman"/>
          <w:sz w:val="18"/>
          <w:szCs w:val="18"/>
        </w:rPr>
      </w:pPr>
      <w:r w:rsidRPr="008934A2">
        <w:rPr>
          <w:rFonts w:ascii="Times New Roman" w:hAnsi="Times New Roman" w:cs="Times New Roman"/>
          <w:sz w:val="18"/>
          <w:szCs w:val="18"/>
        </w:rPr>
        <w:t xml:space="preserve">[6] </w:t>
      </w:r>
      <w:r w:rsidRPr="008934A2">
        <w:rPr>
          <w:rFonts w:ascii="Times New Roman" w:hAnsi="Times New Roman" w:cs="Times New Roman"/>
          <w:sz w:val="18"/>
          <w:szCs w:val="18"/>
          <w:highlight w:val="yellow"/>
        </w:rPr>
        <w:t>Shah SB</w:t>
      </w:r>
      <w:r w:rsidRPr="008934A2">
        <w:rPr>
          <w:rFonts w:ascii="Times New Roman" w:hAnsi="Times New Roman" w:cs="Times New Roman"/>
          <w:sz w:val="18"/>
          <w:szCs w:val="18"/>
        </w:rPr>
        <w:t xml:space="preserve">, Khanna P, Bhatt R, Goyal P, Garg R, Chawla R. Perioperative anaesthetic concerns in transgender patients: Indian perspective. Indian J Anaesth </w:t>
      </w:r>
      <w:r w:rsidRPr="008934A2">
        <w:rPr>
          <w:rFonts w:ascii="Times New Roman" w:hAnsi="Times New Roman" w:cs="Times New Roman"/>
          <w:sz w:val="18"/>
          <w:szCs w:val="18"/>
          <w:highlight w:val="magenta"/>
        </w:rPr>
        <w:t>2019</w:t>
      </w:r>
      <w:r w:rsidRPr="008934A2">
        <w:rPr>
          <w:rFonts w:ascii="Times New Roman" w:hAnsi="Times New Roman" w:cs="Times New Roman"/>
          <w:sz w:val="18"/>
          <w:szCs w:val="18"/>
        </w:rPr>
        <w:t>;63:84-91.</w:t>
      </w:r>
    </w:p>
    <w:p w:rsidR="00E47A4A" w:rsidRPr="008934A2" w:rsidRDefault="00E47A4A" w:rsidP="00E47A4A">
      <w:pPr>
        <w:spacing w:line="240" w:lineRule="auto"/>
        <w:contextualSpacing/>
        <w:jc w:val="both"/>
        <w:rPr>
          <w:rFonts w:ascii="Times New Roman" w:hAnsi="Times New Roman" w:cs="Times New Roman"/>
          <w:sz w:val="18"/>
          <w:szCs w:val="18"/>
        </w:rPr>
      </w:pPr>
      <w:r w:rsidRPr="008934A2">
        <w:rPr>
          <w:rFonts w:ascii="Times New Roman" w:hAnsi="Times New Roman" w:cs="Times New Roman"/>
          <w:sz w:val="18"/>
          <w:szCs w:val="18"/>
        </w:rPr>
        <w:t>[7]</w:t>
      </w:r>
      <w:r w:rsidRPr="008934A2">
        <w:rPr>
          <w:rFonts w:ascii="Times New Roman" w:hAnsi="Times New Roman" w:cs="Times New Roman"/>
          <w:sz w:val="18"/>
          <w:szCs w:val="18"/>
          <w:highlight w:val="yellow"/>
        </w:rPr>
        <w:t>Shah SB</w:t>
      </w:r>
      <w:r w:rsidRPr="008934A2">
        <w:rPr>
          <w:rFonts w:ascii="Times New Roman" w:hAnsi="Times New Roman" w:cs="Times New Roman"/>
          <w:sz w:val="18"/>
          <w:szCs w:val="18"/>
        </w:rPr>
        <w:t xml:space="preserve">, Pahade A, Chawla R. Novel reversal agents and laboratory evaluation for direct-acting oral anticoagulants (DOAC): An update. Indian J Anaesth </w:t>
      </w:r>
      <w:r w:rsidRPr="008934A2">
        <w:rPr>
          <w:rFonts w:ascii="Times New Roman" w:hAnsi="Times New Roman" w:cs="Times New Roman"/>
          <w:sz w:val="18"/>
          <w:szCs w:val="18"/>
          <w:highlight w:val="magenta"/>
        </w:rPr>
        <w:t>2019</w:t>
      </w:r>
      <w:r w:rsidRPr="008934A2">
        <w:rPr>
          <w:rFonts w:ascii="Times New Roman" w:hAnsi="Times New Roman" w:cs="Times New Roman"/>
          <w:sz w:val="18"/>
          <w:szCs w:val="18"/>
        </w:rPr>
        <w:t>;63:169-81.</w:t>
      </w:r>
    </w:p>
    <w:p w:rsidR="00E47A4A" w:rsidRPr="008934A2" w:rsidRDefault="00E47A4A" w:rsidP="00E47A4A">
      <w:pPr>
        <w:spacing w:line="240" w:lineRule="auto"/>
        <w:contextualSpacing/>
        <w:jc w:val="both"/>
        <w:rPr>
          <w:rFonts w:ascii="Times New Roman" w:hAnsi="Times New Roman" w:cs="Times New Roman"/>
          <w:sz w:val="18"/>
          <w:szCs w:val="18"/>
        </w:rPr>
      </w:pPr>
      <w:r w:rsidRPr="008934A2">
        <w:rPr>
          <w:rFonts w:ascii="Times New Roman" w:hAnsi="Times New Roman" w:cs="Times New Roman"/>
          <w:sz w:val="18"/>
          <w:szCs w:val="18"/>
        </w:rPr>
        <w:lastRenderedPageBreak/>
        <w:t>[8]</w:t>
      </w:r>
      <w:r w:rsidRPr="008934A2">
        <w:rPr>
          <w:rFonts w:ascii="Times New Roman" w:hAnsi="Times New Roman" w:cs="Times New Roman"/>
          <w:sz w:val="18"/>
          <w:szCs w:val="18"/>
          <w:highlight w:val="yellow"/>
        </w:rPr>
        <w:t>Shah SB</w:t>
      </w:r>
      <w:r w:rsidRPr="008934A2">
        <w:rPr>
          <w:rFonts w:ascii="Times New Roman" w:hAnsi="Times New Roman" w:cs="Times New Roman"/>
          <w:sz w:val="18"/>
          <w:szCs w:val="18"/>
        </w:rPr>
        <w:t>, Pahade A, Chawla R, Goel N. Ultrasound for predicting the suitable nostril for nasotracheal in</w:t>
      </w:r>
      <w:r w:rsidR="008934A2" w:rsidRPr="008934A2">
        <w:rPr>
          <w:rFonts w:ascii="Times New Roman" w:hAnsi="Times New Roman" w:cs="Times New Roman"/>
          <w:sz w:val="18"/>
          <w:szCs w:val="18"/>
        </w:rPr>
        <w:t>tubation: Look before you leap!</w:t>
      </w:r>
      <w:r w:rsidRPr="008934A2">
        <w:rPr>
          <w:rFonts w:ascii="Times New Roman" w:hAnsi="Times New Roman" w:cs="Times New Roman"/>
          <w:sz w:val="18"/>
          <w:szCs w:val="18"/>
        </w:rPr>
        <w:t xml:space="preserve"> Saudi J Anaesth </w:t>
      </w:r>
      <w:r w:rsidRPr="008934A2">
        <w:rPr>
          <w:rFonts w:ascii="Times New Roman" w:hAnsi="Times New Roman" w:cs="Times New Roman"/>
          <w:sz w:val="18"/>
          <w:szCs w:val="18"/>
          <w:highlight w:val="magenta"/>
        </w:rPr>
        <w:t>2019</w:t>
      </w:r>
      <w:r w:rsidRPr="008934A2">
        <w:rPr>
          <w:rFonts w:ascii="Times New Roman" w:hAnsi="Times New Roman" w:cs="Times New Roman"/>
          <w:sz w:val="18"/>
          <w:szCs w:val="18"/>
        </w:rPr>
        <w:t>;13:145-7.</w:t>
      </w:r>
    </w:p>
    <w:p w:rsidR="00E47A4A" w:rsidRPr="008934A2" w:rsidRDefault="00E47A4A" w:rsidP="00E47A4A">
      <w:pPr>
        <w:autoSpaceDE w:val="0"/>
        <w:autoSpaceDN w:val="0"/>
        <w:adjustRightInd w:val="0"/>
        <w:spacing w:after="0" w:line="240" w:lineRule="auto"/>
        <w:jc w:val="both"/>
        <w:rPr>
          <w:rStyle w:val="apple-converted-space"/>
          <w:rFonts w:ascii="Times New Roman" w:hAnsi="Times New Roman" w:cs="Times New Roman"/>
          <w:sz w:val="18"/>
          <w:szCs w:val="18"/>
        </w:rPr>
      </w:pPr>
      <w:r w:rsidRPr="008934A2">
        <w:rPr>
          <w:rFonts w:ascii="Times New Roman" w:hAnsi="Times New Roman" w:cs="Times New Roman"/>
          <w:sz w:val="18"/>
          <w:szCs w:val="18"/>
        </w:rPr>
        <w:t xml:space="preserve">[9] </w:t>
      </w:r>
      <w:r w:rsidRPr="008934A2">
        <w:rPr>
          <w:rFonts w:ascii="Times New Roman" w:hAnsi="Times New Roman" w:cs="Times New Roman"/>
          <w:sz w:val="18"/>
          <w:szCs w:val="18"/>
          <w:highlight w:val="yellow"/>
        </w:rPr>
        <w:t>Shah SB</w:t>
      </w:r>
      <w:r w:rsidRPr="008934A2">
        <w:rPr>
          <w:rFonts w:ascii="Times New Roman" w:hAnsi="Times New Roman" w:cs="Times New Roman"/>
          <w:sz w:val="18"/>
          <w:szCs w:val="18"/>
        </w:rPr>
        <w:t xml:space="preserve">, Hariharan U, Chawla R. Integrating perioperative medicine with anaesthesia in India: Can the best be achieved? A review. Indian J Anaesth </w:t>
      </w:r>
      <w:r w:rsidRPr="008934A2">
        <w:rPr>
          <w:rFonts w:ascii="Times New Roman" w:hAnsi="Times New Roman" w:cs="Times New Roman"/>
          <w:sz w:val="18"/>
          <w:szCs w:val="18"/>
          <w:highlight w:val="magenta"/>
        </w:rPr>
        <w:t>2019</w:t>
      </w:r>
      <w:r w:rsidRPr="008934A2">
        <w:rPr>
          <w:rFonts w:ascii="Times New Roman" w:hAnsi="Times New Roman" w:cs="Times New Roman"/>
          <w:sz w:val="18"/>
          <w:szCs w:val="18"/>
        </w:rPr>
        <w:t>;63:338-49.</w:t>
      </w:r>
    </w:p>
    <w:p w:rsidR="00B0054F" w:rsidRPr="008934A2" w:rsidRDefault="00B0054F" w:rsidP="001F060D">
      <w:pPr>
        <w:spacing w:line="240" w:lineRule="auto"/>
        <w:jc w:val="both"/>
        <w:rPr>
          <w:rFonts w:ascii="Times New Roman" w:hAnsi="Times New Roman" w:cs="Times New Roman"/>
        </w:rPr>
      </w:pPr>
    </w:p>
    <w:p w:rsidR="00B0054F" w:rsidRPr="008934A2" w:rsidRDefault="00B0054F" w:rsidP="001F060D">
      <w:pPr>
        <w:spacing w:line="240" w:lineRule="auto"/>
        <w:jc w:val="both"/>
        <w:rPr>
          <w:rFonts w:ascii="Times New Roman" w:hAnsi="Times New Roman" w:cs="Times New Roman"/>
          <w:b/>
        </w:rPr>
      </w:pPr>
    </w:p>
    <w:p w:rsidR="00B0054F" w:rsidRPr="008934A2" w:rsidRDefault="00B0054F" w:rsidP="001F060D">
      <w:pPr>
        <w:autoSpaceDE w:val="0"/>
        <w:autoSpaceDN w:val="0"/>
        <w:adjustRightInd w:val="0"/>
        <w:spacing w:after="0" w:line="240" w:lineRule="auto"/>
        <w:rPr>
          <w:rFonts w:ascii="Times New Roman" w:hAnsi="Times New Roman" w:cs="Times New Roman"/>
        </w:rPr>
      </w:pPr>
    </w:p>
    <w:p w:rsidR="00B0054F" w:rsidRPr="008934A2" w:rsidRDefault="00B0054F" w:rsidP="001F060D">
      <w:pPr>
        <w:autoSpaceDE w:val="0"/>
        <w:autoSpaceDN w:val="0"/>
        <w:adjustRightInd w:val="0"/>
        <w:spacing w:after="0" w:line="240" w:lineRule="auto"/>
        <w:rPr>
          <w:rFonts w:ascii="Times New Roman" w:hAnsi="Times New Roman" w:cs="Times New Roman"/>
        </w:rPr>
      </w:pPr>
    </w:p>
    <w:p w:rsidR="00B0054F" w:rsidRPr="008934A2" w:rsidRDefault="00B0054F" w:rsidP="001F060D">
      <w:pPr>
        <w:spacing w:line="240" w:lineRule="auto"/>
        <w:jc w:val="both"/>
        <w:rPr>
          <w:rFonts w:ascii="Times New Roman" w:hAnsi="Times New Roman" w:cs="Times New Roman"/>
          <w:b/>
        </w:rPr>
        <w:sectPr w:rsidR="00B0054F" w:rsidRPr="008934A2" w:rsidSect="00EC2A7D">
          <w:type w:val="continuous"/>
          <w:pgSz w:w="11906" w:h="16838"/>
          <w:pgMar w:top="1440" w:right="1440" w:bottom="1440" w:left="1440" w:header="708" w:footer="708" w:gutter="0"/>
          <w:cols w:num="2" w:space="708"/>
          <w:docGrid w:linePitch="360"/>
        </w:sectPr>
      </w:pPr>
    </w:p>
    <w:p w:rsidR="00B0054F" w:rsidRPr="008934A2" w:rsidRDefault="00B0054F" w:rsidP="001F060D">
      <w:pPr>
        <w:spacing w:line="240" w:lineRule="auto"/>
        <w:jc w:val="both"/>
        <w:rPr>
          <w:rFonts w:ascii="Times New Roman" w:hAnsi="Times New Roman" w:cs="Times New Roman"/>
          <w:b/>
        </w:rPr>
      </w:pPr>
    </w:p>
    <w:p w:rsidR="00B0054F" w:rsidRPr="001F060D" w:rsidRDefault="00B0054F" w:rsidP="001F060D">
      <w:pPr>
        <w:spacing w:line="240" w:lineRule="auto"/>
        <w:jc w:val="both"/>
        <w:rPr>
          <w:rFonts w:ascii="Times New Roman" w:hAnsi="Times New Roman" w:cs="Times New Roman"/>
          <w:b/>
        </w:rPr>
      </w:pPr>
      <w:r w:rsidRPr="001F060D">
        <w:rPr>
          <w:rFonts w:ascii="Times New Roman" w:hAnsi="Times New Roman" w:cs="Times New Roman"/>
          <w:b/>
        </w:rPr>
        <w:t xml:space="preserve">Biography </w:t>
      </w:r>
    </w:p>
    <w:p w:rsidR="00B0054F" w:rsidRPr="001F060D" w:rsidRDefault="00B0054F" w:rsidP="001F060D">
      <w:pPr>
        <w:spacing w:line="240" w:lineRule="auto"/>
        <w:jc w:val="both"/>
        <w:rPr>
          <w:rFonts w:ascii="Times New Roman" w:hAnsi="Times New Roman" w:cs="Times New Roman"/>
        </w:rPr>
      </w:pPr>
      <w:r w:rsidRPr="001F060D">
        <w:rPr>
          <w:rFonts w:ascii="Times New Roman" w:hAnsi="Times New Roman" w:cs="Times New Roman"/>
          <w:noProof/>
        </w:rPr>
        <w:drawing>
          <wp:inline distT="0" distB="0" distL="0" distR="0">
            <wp:extent cx="1370176" cy="1622664"/>
            <wp:effectExtent l="19050" t="0" r="1424" b="0"/>
            <wp:docPr id="3" name="Picture 1" descr="C:\Users\User\Desktop\profile_picture_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rofile_picture_2018.jpg"/>
                    <pic:cNvPicPr>
                      <a:picLocks noChangeAspect="1" noChangeArrowheads="1"/>
                    </pic:cNvPicPr>
                  </pic:nvPicPr>
                  <pic:blipFill>
                    <a:blip r:embed="rId7" cstate="print"/>
                    <a:srcRect/>
                    <a:stretch>
                      <a:fillRect/>
                    </a:stretch>
                  </pic:blipFill>
                  <pic:spPr bwMode="auto">
                    <a:xfrm>
                      <a:off x="0" y="0"/>
                      <a:ext cx="1372326" cy="1625210"/>
                    </a:xfrm>
                    <a:prstGeom prst="rect">
                      <a:avLst/>
                    </a:prstGeom>
                    <a:noFill/>
                    <a:ln w="9525">
                      <a:noFill/>
                      <a:miter lim="800000"/>
                      <a:headEnd/>
                      <a:tailEnd/>
                    </a:ln>
                  </pic:spPr>
                </pic:pic>
              </a:graphicData>
            </a:graphic>
          </wp:inline>
        </w:drawing>
      </w:r>
    </w:p>
    <w:p w:rsidR="00B0054F" w:rsidRPr="001F060D" w:rsidRDefault="00B0054F" w:rsidP="001F060D">
      <w:pPr>
        <w:spacing w:line="240" w:lineRule="auto"/>
        <w:jc w:val="both"/>
        <w:rPr>
          <w:rFonts w:ascii="Times New Roman" w:hAnsi="Times New Roman" w:cs="Times New Roman"/>
          <w:color w:val="000000"/>
          <w:shd w:val="clear" w:color="auto" w:fill="FFFFFF"/>
        </w:rPr>
      </w:pPr>
      <w:r w:rsidRPr="001F060D">
        <w:rPr>
          <w:rFonts w:ascii="Times New Roman" w:hAnsi="Times New Roman" w:cs="Times New Roman"/>
          <w:color w:val="000000"/>
          <w:shd w:val="clear" w:color="auto" w:fill="FFFFFF"/>
        </w:rPr>
        <w:t xml:space="preserve">Dr. Shagun Bhatia Shah is a motivated and dedicated anaesthesiologist with </w:t>
      </w:r>
      <w:r w:rsidRPr="001F060D">
        <w:rPr>
          <w:rFonts w:ascii="Times New Roman" w:hAnsi="Times New Roman" w:cs="Times New Roman"/>
          <w:color w:val="000000"/>
          <w:highlight w:val="yellow"/>
          <w:shd w:val="clear" w:color="auto" w:fill="FFFFFF"/>
        </w:rPr>
        <w:t>eighteen years of experience in anaesthesia and over 60 publications</w:t>
      </w:r>
      <w:r w:rsidRPr="001F060D">
        <w:rPr>
          <w:rFonts w:ascii="Times New Roman" w:hAnsi="Times New Roman" w:cs="Times New Roman"/>
          <w:color w:val="000000"/>
          <w:shd w:val="clear" w:color="auto" w:fill="FFFFFF"/>
        </w:rPr>
        <w:t xml:space="preserve"> in various international peer reviewed journals. Her interest in oncoanaesthesia drove her to practice as a consultant at RGCI&amp;RC. Her specific interests include recent advances in anaesthesia like USG-guided nerve blocks,difficult airway and anaesthesia for robotic surgery. She is certified in TOE (Transoesophageal echocardiography) use and utilizes it for managing cardiac patients undergoing noncardiac oncosurgery. She has successfully conducted clinical trials like “Optic Nerve Sheath Diameter guided noninvasive ICP measurement in patients undergoing robotic surgery in steep Trendelenberg position</w:t>
      </w:r>
      <w:r w:rsidR="008934A2">
        <w:rPr>
          <w:rFonts w:ascii="Times New Roman" w:hAnsi="Times New Roman" w:cs="Times New Roman"/>
          <w:color w:val="000000"/>
          <w:shd w:val="clear" w:color="auto" w:fill="FFFFFF"/>
        </w:rPr>
        <w:t>”and</w:t>
      </w:r>
      <w:r w:rsidRPr="001F060D">
        <w:rPr>
          <w:rFonts w:ascii="Times New Roman" w:hAnsi="Times New Roman" w:cs="Times New Roman"/>
          <w:color w:val="000000"/>
          <w:shd w:val="clear" w:color="auto" w:fill="FFFFFF"/>
        </w:rPr>
        <w:t xml:space="preserve"> “TOE for intraoperative goal directed fluid therapy in cardiac patients undergoing non cardiac oncosu</w:t>
      </w:r>
      <w:r w:rsidR="008934A2">
        <w:rPr>
          <w:rFonts w:ascii="Times New Roman" w:hAnsi="Times New Roman" w:cs="Times New Roman"/>
          <w:color w:val="000000"/>
          <w:shd w:val="clear" w:color="auto" w:fill="FFFFFF"/>
        </w:rPr>
        <w:t>rgery</w:t>
      </w:r>
      <w:r w:rsidRPr="001F060D">
        <w:rPr>
          <w:rFonts w:ascii="Times New Roman" w:hAnsi="Times New Roman" w:cs="Times New Roman"/>
          <w:color w:val="000000"/>
          <w:shd w:val="clear" w:color="auto" w:fill="FFFFFF"/>
        </w:rPr>
        <w:t>” among others</w:t>
      </w:r>
      <w:r w:rsidR="008934A2">
        <w:rPr>
          <w:rFonts w:ascii="Times New Roman" w:hAnsi="Times New Roman" w:cs="Times New Roman"/>
          <w:color w:val="000000"/>
          <w:shd w:val="clear" w:color="auto" w:fill="FFFFFF"/>
        </w:rPr>
        <w:t xml:space="preserve"> and is a core member in framing CRS –HIPEC consensus guidelines 2019</w:t>
      </w:r>
      <w:r w:rsidRPr="001F060D">
        <w:rPr>
          <w:rFonts w:ascii="Times New Roman" w:hAnsi="Times New Roman" w:cs="Times New Roman"/>
          <w:color w:val="000000"/>
          <w:shd w:val="clear" w:color="auto" w:fill="FFFFFF"/>
        </w:rPr>
        <w:t>. She is ready to walk that extra mile with post- operative and terminally ill cancer patients to alleviate their pain and suffering.</w:t>
      </w:r>
    </w:p>
    <w:p w:rsidR="00B0054F" w:rsidRPr="001F060D" w:rsidRDefault="00B0054F" w:rsidP="001F060D">
      <w:pPr>
        <w:spacing w:line="240" w:lineRule="auto"/>
        <w:jc w:val="both"/>
        <w:rPr>
          <w:rFonts w:ascii="Times New Roman" w:hAnsi="Times New Roman" w:cs="Times New Roman"/>
        </w:rPr>
      </w:pPr>
      <w:r w:rsidRPr="001F060D">
        <w:rPr>
          <w:rFonts w:ascii="Times New Roman" w:hAnsi="Times New Roman" w:cs="Times New Roman"/>
        </w:rPr>
        <w:t>E mail ID: drshagun_2010@rediffmail.com</w:t>
      </w:r>
    </w:p>
    <w:p w:rsidR="00B0054F" w:rsidRPr="001F060D" w:rsidRDefault="00B0054F" w:rsidP="001F060D">
      <w:pPr>
        <w:spacing w:line="240" w:lineRule="auto"/>
        <w:jc w:val="both"/>
        <w:rPr>
          <w:rFonts w:ascii="Times New Roman" w:hAnsi="Times New Roman" w:cs="Times New Roman"/>
        </w:rPr>
      </w:pPr>
      <w:r w:rsidRPr="001F060D">
        <w:rPr>
          <w:rFonts w:ascii="Times New Roman" w:hAnsi="Times New Roman" w:cs="Times New Roman"/>
        </w:rPr>
        <w:t>Full Name: Dr. Shagun Bhatia Shah</w:t>
      </w:r>
    </w:p>
    <w:p w:rsidR="00B0054F" w:rsidRPr="001F060D" w:rsidRDefault="00B0054F" w:rsidP="001F060D">
      <w:pPr>
        <w:spacing w:line="240" w:lineRule="auto"/>
        <w:jc w:val="both"/>
        <w:rPr>
          <w:rFonts w:ascii="Times New Roman" w:hAnsi="Times New Roman" w:cs="Times New Roman"/>
        </w:rPr>
      </w:pPr>
      <w:r w:rsidRPr="001F060D">
        <w:rPr>
          <w:rFonts w:ascii="Times New Roman" w:hAnsi="Times New Roman" w:cs="Times New Roman"/>
        </w:rPr>
        <w:t>Presentation Type: Oral</w:t>
      </w:r>
    </w:p>
    <w:p w:rsidR="00B0054F" w:rsidRPr="001F060D" w:rsidRDefault="00B0054F" w:rsidP="001F060D">
      <w:pPr>
        <w:spacing w:line="240" w:lineRule="auto"/>
        <w:jc w:val="both"/>
        <w:rPr>
          <w:rFonts w:ascii="Times New Roman" w:hAnsi="Times New Roman" w:cs="Times New Roman"/>
        </w:rPr>
      </w:pPr>
      <w:r w:rsidRPr="001F060D">
        <w:rPr>
          <w:rFonts w:ascii="Times New Roman" w:hAnsi="Times New Roman" w:cs="Times New Roman"/>
        </w:rPr>
        <w:t>Contact Number: 91 9891769779</w:t>
      </w:r>
    </w:p>
    <w:p w:rsidR="00B0054F" w:rsidRPr="001F060D" w:rsidRDefault="00B0054F" w:rsidP="001F060D">
      <w:pPr>
        <w:spacing w:line="240" w:lineRule="auto"/>
        <w:jc w:val="both"/>
        <w:rPr>
          <w:rFonts w:ascii="Times New Roman" w:hAnsi="Times New Roman" w:cs="Times New Roman"/>
        </w:rPr>
      </w:pPr>
      <w:r w:rsidRPr="001F060D">
        <w:rPr>
          <w:rFonts w:ascii="Times New Roman" w:hAnsi="Times New Roman" w:cs="Times New Roman"/>
        </w:rPr>
        <w:t>Country: India</w:t>
      </w:r>
    </w:p>
    <w:p w:rsidR="00B0054F" w:rsidRPr="001F060D" w:rsidRDefault="00B0054F" w:rsidP="001F060D">
      <w:pPr>
        <w:spacing w:line="240" w:lineRule="auto"/>
        <w:jc w:val="both"/>
        <w:rPr>
          <w:rFonts w:ascii="Times New Roman" w:hAnsi="Times New Roman" w:cs="Times New Roman"/>
        </w:rPr>
      </w:pPr>
      <w:r w:rsidRPr="001F060D">
        <w:rPr>
          <w:rFonts w:ascii="Times New Roman" w:hAnsi="Times New Roman" w:cs="Times New Roman"/>
        </w:rPr>
        <w:t xml:space="preserve">Logo: </w:t>
      </w:r>
      <w:r w:rsidRPr="001F060D">
        <w:rPr>
          <w:rFonts w:ascii="Times New Roman" w:hAnsi="Times New Roman" w:cs="Times New Roman"/>
          <w:noProof/>
        </w:rPr>
        <w:drawing>
          <wp:inline distT="0" distB="0" distL="0" distR="0">
            <wp:extent cx="534035" cy="750570"/>
            <wp:effectExtent l="19050" t="0" r="0" b="0"/>
            <wp:docPr id="2" name="Picture 2" descr="C:\Users\User\Desktop\LOGO RG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LOGO RGCI.jpg"/>
                    <pic:cNvPicPr>
                      <a:picLocks noChangeAspect="1" noChangeArrowheads="1"/>
                    </pic:cNvPicPr>
                  </pic:nvPicPr>
                  <pic:blipFill>
                    <a:blip r:embed="rId8"/>
                    <a:srcRect/>
                    <a:stretch>
                      <a:fillRect/>
                    </a:stretch>
                  </pic:blipFill>
                  <pic:spPr bwMode="auto">
                    <a:xfrm>
                      <a:off x="0" y="0"/>
                      <a:ext cx="534035" cy="750570"/>
                    </a:xfrm>
                    <a:prstGeom prst="rect">
                      <a:avLst/>
                    </a:prstGeom>
                    <a:noFill/>
                    <a:ln w="9525">
                      <a:noFill/>
                      <a:miter lim="800000"/>
                      <a:headEnd/>
                      <a:tailEnd/>
                    </a:ln>
                  </pic:spPr>
                </pic:pic>
              </a:graphicData>
            </a:graphic>
          </wp:inline>
        </w:drawing>
      </w:r>
    </w:p>
    <w:p w:rsidR="00B0054F" w:rsidRPr="001F060D" w:rsidRDefault="00B0054F" w:rsidP="001F060D">
      <w:pPr>
        <w:spacing w:line="240" w:lineRule="auto"/>
        <w:jc w:val="both"/>
        <w:rPr>
          <w:rFonts w:ascii="Times New Roman" w:hAnsi="Times New Roman" w:cs="Times New Roman"/>
        </w:rPr>
      </w:pPr>
      <w:r w:rsidRPr="001F060D">
        <w:rPr>
          <w:rFonts w:ascii="Times New Roman" w:hAnsi="Times New Roman" w:cs="Times New Roman"/>
        </w:rPr>
        <w:t>Notes /Comments</w:t>
      </w:r>
    </w:p>
    <w:p w:rsidR="00E802FC" w:rsidRPr="001F060D" w:rsidRDefault="00E802FC" w:rsidP="001F060D">
      <w:pPr>
        <w:spacing w:line="240" w:lineRule="auto"/>
        <w:rPr>
          <w:rFonts w:ascii="Times New Roman" w:hAnsi="Times New Roman" w:cs="Times New Roman"/>
        </w:rPr>
      </w:pPr>
    </w:p>
    <w:sectPr w:rsidR="00E802FC" w:rsidRPr="001F060D" w:rsidSect="00EC2A7D">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lbany A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753704"/>
      <w:docPartObj>
        <w:docPartGallery w:val="Page Numbers (Bottom of Page)"/>
        <w:docPartUnique/>
      </w:docPartObj>
    </w:sdtPr>
    <w:sdtEndPr/>
    <w:sdtContent>
      <w:p w:rsidR="0003462D" w:rsidRDefault="00E802FC">
        <w:pPr>
          <w:pStyle w:val="Footer"/>
          <w:jc w:val="center"/>
        </w:pPr>
        <w:r>
          <w:fldChar w:fldCharType="begin"/>
        </w:r>
        <w:r>
          <w:instrText xml:space="preserve"> PAGE   \* MERGEFORMAT </w:instrText>
        </w:r>
        <w:r>
          <w:fldChar w:fldCharType="separate"/>
        </w:r>
        <w:r w:rsidR="008934A2">
          <w:rPr>
            <w:noProof/>
          </w:rPr>
          <w:t>1</w:t>
        </w:r>
        <w:r>
          <w:fldChar w:fldCharType="end"/>
        </w:r>
      </w:p>
    </w:sdtContent>
  </w:sdt>
  <w:p w:rsidR="0003462D" w:rsidRDefault="00E802FC">
    <w:pPr>
      <w:pStyle w:val="Foote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DF5B64"/>
    <w:multiLevelType w:val="hybridMultilevel"/>
    <w:tmpl w:val="74CAE45C"/>
    <w:lvl w:ilvl="0" w:tplc="081EC36A">
      <w:start w:val="1"/>
      <w:numFmt w:val="decimal"/>
      <w:lvlText w:val="%1."/>
      <w:lvlJc w:val="left"/>
      <w:pPr>
        <w:ind w:left="720" w:hanging="360"/>
      </w:pPr>
      <w:rPr>
        <w:rFonts w:asciiTheme="minorHAnsi" w:hAnsiTheme="minorHAnsi" w:cstheme="minorBidi" w:hint="default"/>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20"/>
  <w:characterSpacingControl w:val="doNotCompress"/>
  <w:compat>
    <w:useFELayout/>
  </w:compat>
  <w:rsids>
    <w:rsidRoot w:val="00B0054F"/>
    <w:rsid w:val="00030CB3"/>
    <w:rsid w:val="001F060D"/>
    <w:rsid w:val="005F1FF2"/>
    <w:rsid w:val="008934A2"/>
    <w:rsid w:val="009E15ED"/>
    <w:rsid w:val="00B0054F"/>
    <w:rsid w:val="00E47A4A"/>
    <w:rsid w:val="00E802F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005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054F"/>
  </w:style>
  <w:style w:type="paragraph" w:styleId="BalloonText">
    <w:name w:val="Balloon Text"/>
    <w:basedOn w:val="Normal"/>
    <w:link w:val="BalloonTextChar"/>
    <w:uiPriority w:val="99"/>
    <w:semiHidden/>
    <w:unhideWhenUsed/>
    <w:rsid w:val="00B005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054F"/>
    <w:rPr>
      <w:rFonts w:ascii="Tahoma" w:hAnsi="Tahoma" w:cs="Tahoma"/>
      <w:sz w:val="16"/>
      <w:szCs w:val="16"/>
    </w:rPr>
  </w:style>
  <w:style w:type="paragraph" w:styleId="NormalWeb">
    <w:name w:val="Normal (Web)"/>
    <w:basedOn w:val="Normal"/>
    <w:uiPriority w:val="99"/>
    <w:unhideWhenUsed/>
    <w:rsid w:val="00B0054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47A4A"/>
    <w:pPr>
      <w:tabs>
        <w:tab w:val="left" w:pos="709"/>
      </w:tabs>
      <w:suppressAutoHyphens/>
      <w:spacing w:line="276" w:lineRule="atLeast"/>
    </w:pPr>
    <w:rPr>
      <w:rFonts w:ascii="Calibri" w:eastAsia="Albany AMT" w:hAnsi="Calibri"/>
      <w:lang w:eastAsia="en-US"/>
    </w:rPr>
  </w:style>
  <w:style w:type="character" w:customStyle="1" w:styleId="apple-converted-space">
    <w:name w:val="apple-converted-space"/>
    <w:basedOn w:val="DefaultParagraphFont"/>
    <w:rsid w:val="00E47A4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2</Pages>
  <Words>790</Words>
  <Characters>4506</Characters>
  <Application>Microsoft Office Word</Application>
  <DocSecurity>0</DocSecurity>
  <Lines>37</Lines>
  <Paragraphs>10</Paragraphs>
  <ScaleCrop>false</ScaleCrop>
  <Company/>
  <LinksUpToDate>false</LinksUpToDate>
  <CharactersWithSpaces>5286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2019-12-13T14:57:00Z</dcterms:created>
  <dcterms:modified xsi:type="dcterms:W3CDTF">2019-12-13T17:15:00Z</dcterms:modified>
</cp:coreProperties>
</file>