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Abstract</w:t>
      </w:r>
    </w:p>
    <w:p>
      <w:pPr/>
      <w:r>
        <w:rPr>
          <w:rFonts w:ascii="Times" w:hAnsi="Times" w:cs="Times"/>
          <w:sz w:val="24"/>
          <w:sz-cs w:val="24"/>
        </w:rPr>
        <w:t xml:space="preserve"/>
      </w:r>
    </w:p>
    <w:p>
      <w:pPr/>
      <w:r>
        <w:rPr>
          <w:rFonts w:ascii="Times" w:hAnsi="Times" w:cs="Times"/>
          <w:sz w:val="24"/>
          <w:sz-cs w:val="24"/>
        </w:rPr>
        <w:t xml:space="preserve">Since the discovery of scarless wound healing in human foetuses, an intensive research has been conducted to unravel the mechanisms underlying it. This study aims to summarise the progression thus far and identify areas which are less understood in order to guide further research. Pubmed was the main database used to source suitable journal articles, using the terms ‘scarless’, ‘wound’ AND ‘healing’ . The inclusion criteria were papers in English, articles done on humans and published in the last 5 years. Exclusion criteria are articles without a full text. A recent discovery was the interaction between MG53, a novel tripartite motif family protein and TGF-B signalling. This interaction promotes scarless wound healing via three mechanisms, a facilitator of rapid injury repair, a mediator of cell migration and a modulator of myofibroblast differentiation. Another comparative study on oral mucosa shows a higher level of expression of fibronectin and chondroitin sulphate, which resembles foetal skin. Another study was done on the human gingiva regarding the function and expression of Connexin (Cxs) 43 in fibroblasts to promote migration and accelerated healing. Lastly, advancement on regenerative medicine have elucidated the contribution of stem cells and growth factors to scarless wound healing. To date, specific cellular differences in foetuses and adults have been identified. The less well understood areas are the cell populations, particularly fibroblasts and transitions from scarring to scarless healing, which can be further looked into. However, regenerative medicine remains the most promising research area thus far.</w:t>
      </w:r>
    </w:p>
    <w:p>
      <w:pPr/>
      <w:r>
        <w:rPr>
          <w:rFonts w:ascii="Times" w:hAnsi="Times" w:cs="Times"/>
          <w:sz w:val="24"/>
          <w:sz-cs w:val="24"/>
        </w:rPr>
        <w:t xml:space="preserve"/>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CocoaOOXMLWriter/1138.51</generator>
</meta>
</file>