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A6009" w14:textId="6A82D45A" w:rsidR="007A31A5" w:rsidRDefault="00FB7764">
      <w:pPr>
        <w:rPr>
          <w:b/>
          <w:bCs/>
        </w:rPr>
      </w:pPr>
      <w:r>
        <w:rPr>
          <w:b/>
          <w:bCs/>
        </w:rPr>
        <w:t xml:space="preserve">Association between </w:t>
      </w:r>
      <w:r w:rsidR="007A31A5">
        <w:rPr>
          <w:b/>
          <w:bCs/>
        </w:rPr>
        <w:t>Iron Deposition and Neovascularization in Patients with Aortic Valve Stenosis</w:t>
      </w:r>
    </w:p>
    <w:p w14:paraId="38E24035" w14:textId="64CEFDB5" w:rsidR="007A31A5" w:rsidRDefault="007A31A5">
      <w:pPr>
        <w:rPr>
          <w:bCs/>
        </w:rPr>
      </w:pPr>
      <w:r w:rsidRPr="007A31A5">
        <w:rPr>
          <w:bCs/>
        </w:rPr>
        <w:t xml:space="preserve">Amber R Howard, </w:t>
      </w:r>
      <w:r w:rsidR="00B548A8">
        <w:rPr>
          <w:bCs/>
        </w:rPr>
        <w:t>Daniel Luthringer,</w:t>
      </w:r>
      <w:r w:rsidR="00C42CB3">
        <w:rPr>
          <w:bCs/>
        </w:rPr>
        <w:t xml:space="preserve"> Ivan Cokic, Eric Johnson,</w:t>
      </w:r>
      <w:r w:rsidR="00B548A8">
        <w:rPr>
          <w:bCs/>
        </w:rPr>
        <w:t xml:space="preserve"> </w:t>
      </w:r>
      <w:r w:rsidRPr="007A31A5">
        <w:rPr>
          <w:bCs/>
        </w:rPr>
        <w:t>Rohan Dharmakumar</w:t>
      </w:r>
      <w:r w:rsidR="00007F0C">
        <w:rPr>
          <w:bCs/>
        </w:rPr>
        <w:t xml:space="preserve">, </w:t>
      </w:r>
      <w:r w:rsidR="00007F0C" w:rsidRPr="007A31A5">
        <w:rPr>
          <w:bCs/>
        </w:rPr>
        <w:t>Balaji Tamarappoo</w:t>
      </w:r>
    </w:p>
    <w:p w14:paraId="1BC13B93" w14:textId="77777777" w:rsidR="007A31A5" w:rsidRPr="007A31A5" w:rsidRDefault="007A31A5">
      <w:pPr>
        <w:rPr>
          <w:bCs/>
        </w:rPr>
      </w:pPr>
    </w:p>
    <w:p w14:paraId="40F1CAF4" w14:textId="3586CE37" w:rsidR="00E051CF" w:rsidRDefault="398576A3">
      <w:r w:rsidRPr="398576A3">
        <w:rPr>
          <w:b/>
          <w:bCs/>
        </w:rPr>
        <w:t>Introduction:</w:t>
      </w:r>
      <w:r>
        <w:t xml:space="preserve"> </w:t>
      </w:r>
      <w:r w:rsidR="00007F0C">
        <w:t>Calcific aortic stenosis</w:t>
      </w:r>
      <w:r w:rsidR="00874304">
        <w:t xml:space="preserve"> (AS)</w:t>
      </w:r>
      <w:r w:rsidR="00007F0C">
        <w:t xml:space="preserve"> is characterized by calcification, restricted leaflet motion and</w:t>
      </w:r>
      <w:r w:rsidR="00874304">
        <w:t xml:space="preserve"> </w:t>
      </w:r>
      <w:r w:rsidR="00007F0C">
        <w:t xml:space="preserve">reduction in valve area.  </w:t>
      </w:r>
      <w:r w:rsidR="00F814CA">
        <w:t xml:space="preserve">It has been shown that </w:t>
      </w:r>
      <w:r w:rsidR="00B548A8">
        <w:t xml:space="preserve">neovessels, </w:t>
      </w:r>
      <w:r>
        <w:t xml:space="preserve">intraleaflet hemorrhage </w:t>
      </w:r>
      <w:r w:rsidR="00F814CA">
        <w:t xml:space="preserve">and iron deposition may be involved in the pathophysiology of the disease.  We </w:t>
      </w:r>
      <w:r w:rsidR="00B548A8">
        <w:t xml:space="preserve">sought to evaluate the association between aortic valve intraleaflet neovascularization and iron deposition in patients with </w:t>
      </w:r>
      <w:r w:rsidR="00874304">
        <w:t>AS</w:t>
      </w:r>
      <w:r w:rsidR="00B548A8">
        <w:t xml:space="preserve"> using histologic techniques.</w:t>
      </w:r>
    </w:p>
    <w:p w14:paraId="3A38B437" w14:textId="77777777" w:rsidR="009506DE" w:rsidRDefault="009506DE"/>
    <w:p w14:paraId="3B11DBFA" w14:textId="5EE915B5" w:rsidR="398576A3" w:rsidRDefault="398576A3" w:rsidP="398576A3">
      <w:r w:rsidRPr="398576A3">
        <w:rPr>
          <w:b/>
          <w:bCs/>
        </w:rPr>
        <w:t xml:space="preserve">Methods: </w:t>
      </w:r>
      <w:r>
        <w:t>Aortic valve leaflets of 1</w:t>
      </w:r>
      <w:r w:rsidR="0048644A">
        <w:t>0</w:t>
      </w:r>
      <w:r>
        <w:t xml:space="preserve"> consenting patients </w:t>
      </w:r>
      <w:r w:rsidR="00874304">
        <w:t xml:space="preserve">with AS </w:t>
      </w:r>
      <w:r>
        <w:t xml:space="preserve">were extracted during </w:t>
      </w:r>
      <w:r w:rsidR="00B548A8">
        <w:t xml:space="preserve">surgical aortic valve </w:t>
      </w:r>
      <w:r>
        <w:t>replacement</w:t>
      </w:r>
      <w:r w:rsidR="00B548A8">
        <w:t xml:space="preserve">, fixed, embedded and sectioned.  </w:t>
      </w:r>
      <w:r>
        <w:t>Presence of microvessels,</w:t>
      </w:r>
      <w:r w:rsidR="007A31A5">
        <w:t xml:space="preserve"> macrophages,</w:t>
      </w:r>
      <w:r>
        <w:t xml:space="preserve"> and iron were assessed with standard immunohistochemical staining</w:t>
      </w:r>
      <w:r w:rsidR="00B548A8">
        <w:t xml:space="preserve"> with CD34, CD68 and iron respectively</w:t>
      </w:r>
      <w:r w:rsidR="00D57AD4">
        <w:t xml:space="preserve">. </w:t>
      </w:r>
      <w:r w:rsidR="00B968D3">
        <w:t xml:space="preserve">Histological analysis was performed using Leica software. For each stain, the areas of CD34, CD68, and iron positive pixels were calculated. </w:t>
      </w:r>
      <w:r w:rsidR="00B968D3" w:rsidRPr="398576A3">
        <w:rPr>
          <w:rFonts w:ascii="Calibri" w:eastAsia="Calibri" w:hAnsi="Calibri" w:cs="Calibri"/>
        </w:rPr>
        <w:t xml:space="preserve">To assess linear dependence between variables, the Pearson's correlation coefficient for normally distributed or Spearman's rank correlation coefficient for non-normally distributed variables was calculated. A value of </w:t>
      </w:r>
      <w:r w:rsidR="00B968D3" w:rsidRPr="398576A3">
        <w:rPr>
          <w:rFonts w:ascii="Calibri" w:eastAsia="Calibri" w:hAnsi="Calibri" w:cs="Calibri"/>
          <w:i/>
          <w:iCs/>
        </w:rPr>
        <w:t>p</w:t>
      </w:r>
      <w:r w:rsidR="00B968D3" w:rsidRPr="398576A3">
        <w:rPr>
          <w:rFonts w:ascii="Calibri" w:eastAsia="Calibri" w:hAnsi="Calibri" w:cs="Calibri"/>
        </w:rPr>
        <w:t xml:space="preserve"> &lt; 0.05 was considered statistically significant.</w:t>
      </w:r>
    </w:p>
    <w:p w14:paraId="3DB78E15" w14:textId="77777777" w:rsidR="009506DE" w:rsidRDefault="009506DE" w:rsidP="398576A3">
      <w:pPr>
        <w:rPr>
          <w:rFonts w:ascii="Calibri" w:eastAsia="Calibri" w:hAnsi="Calibri" w:cs="Calibri"/>
        </w:rPr>
      </w:pPr>
    </w:p>
    <w:p w14:paraId="6F304986" w14:textId="77777777" w:rsidR="00B968D3" w:rsidRPr="00132A96" w:rsidRDefault="398576A3" w:rsidP="00B968D3">
      <w:r w:rsidRPr="398576A3">
        <w:rPr>
          <w:b/>
          <w:bCs/>
        </w:rPr>
        <w:t xml:space="preserve">Results: </w:t>
      </w:r>
      <w:r w:rsidR="00B968D3">
        <w:t>The demographic characteristics, risk factors, and echocardiography of study patients are summarized in Table 1. There was a positive correlation between detection of cd34 cells and iron (r = 0.7, P = 0.02). Detection of CD34 cells was also positively correlated with the peak transvalvular gradient (0.41, p = 0.5), and negatively associated with valve area (r = -0.14, p=0.05).</w:t>
      </w:r>
    </w:p>
    <w:p w14:paraId="562F49DD" w14:textId="2169B422" w:rsidR="0048644A" w:rsidRDefault="0048644A">
      <w:bookmarkStart w:id="0" w:name="_GoBack"/>
      <w:bookmarkEnd w:id="0"/>
    </w:p>
    <w:p w14:paraId="27E3356E" w14:textId="44C671F0" w:rsidR="00BF2F26" w:rsidRDefault="00E051CF">
      <w:r w:rsidRPr="00132A96">
        <w:rPr>
          <w:b/>
        </w:rPr>
        <w:t>Conclusion</w:t>
      </w:r>
      <w:r w:rsidR="00132A96">
        <w:rPr>
          <w:b/>
        </w:rPr>
        <w:t>:</w:t>
      </w:r>
      <w:r w:rsidR="00D57AD4">
        <w:rPr>
          <w:b/>
        </w:rPr>
        <w:t xml:space="preserve"> </w:t>
      </w:r>
      <w:r w:rsidR="008E6496">
        <w:t xml:space="preserve">Our results </w:t>
      </w:r>
      <w:r w:rsidR="00874304">
        <w:t xml:space="preserve">suggest </w:t>
      </w:r>
      <w:r w:rsidR="00D043D6">
        <w:t>that</w:t>
      </w:r>
      <w:r w:rsidR="00D57AD4">
        <w:t xml:space="preserve"> </w:t>
      </w:r>
      <w:r w:rsidR="009506DE">
        <w:t>iron</w:t>
      </w:r>
      <w:r w:rsidR="00874304">
        <w:t xml:space="preserve"> deposition occurs in association with neovascularization</w:t>
      </w:r>
      <w:r w:rsidR="009506DE">
        <w:t xml:space="preserve">. These preliminary findings support the hypothesis </w:t>
      </w:r>
      <w:r w:rsidR="00BF2F26">
        <w:t xml:space="preserve">that angiogenesis </w:t>
      </w:r>
      <w:r w:rsidR="00944D9B">
        <w:t>may promote intraleaflet inflammation by allowing iron deposition</w:t>
      </w:r>
      <w:r w:rsidR="00BF2F26">
        <w:t>.</w:t>
      </w:r>
    </w:p>
    <w:p w14:paraId="68D79513" w14:textId="77777777" w:rsidR="00BF2F26" w:rsidRDefault="00BF2F26"/>
    <w:p w14:paraId="072E0C24" w14:textId="36D42065" w:rsidR="009506DE" w:rsidRDefault="009506DE"/>
    <w:p w14:paraId="362EBC2E" w14:textId="39F613B1" w:rsidR="00A6697B" w:rsidRDefault="00A6697B"/>
    <w:p w14:paraId="48B6A15B" w14:textId="2158EA9D" w:rsidR="00A6697B" w:rsidRDefault="00A6697B"/>
    <w:p w14:paraId="6B2D589B" w14:textId="4A11CD2C" w:rsidR="00A6697B" w:rsidRDefault="00A6697B"/>
    <w:p w14:paraId="27F8F29E" w14:textId="148064E1" w:rsidR="00A6697B" w:rsidRDefault="00A6697B"/>
    <w:p w14:paraId="1CAAB82C" w14:textId="5C683ECF" w:rsidR="00A6697B" w:rsidRDefault="00A6697B"/>
    <w:tbl>
      <w:tblPr>
        <w:tblStyle w:val="TableGrid"/>
        <w:tblpPr w:leftFromText="180" w:rightFromText="180" w:vertAnchor="page" w:horzAnchor="margin" w:tblpY="22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90"/>
        <w:gridCol w:w="2848"/>
      </w:tblGrid>
      <w:tr w:rsidR="00A6697B" w14:paraId="7C45FE05" w14:textId="77777777" w:rsidTr="00A6697B">
        <w:trPr>
          <w:trHeight w:val="430"/>
        </w:trPr>
        <w:tc>
          <w:tcPr>
            <w:tcW w:w="3420" w:type="dxa"/>
            <w:tcBorders>
              <w:top w:val="single" w:sz="8" w:space="0" w:color="auto"/>
              <w:bottom w:val="single" w:sz="8" w:space="0" w:color="auto"/>
            </w:tcBorders>
          </w:tcPr>
          <w:p w14:paraId="7A3D2981" w14:textId="77777777" w:rsidR="00A6697B" w:rsidRDefault="00A6697B" w:rsidP="00A6697B">
            <w:r w:rsidRPr="000F2531">
              <w:rPr>
                <w:b/>
                <w:sz w:val="24"/>
              </w:rPr>
              <w:lastRenderedPageBreak/>
              <w:t>Patient Characteristics</w:t>
            </w:r>
          </w:p>
        </w:tc>
        <w:tc>
          <w:tcPr>
            <w:tcW w:w="29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76E447C" w14:textId="77777777" w:rsidR="00A6697B" w:rsidRPr="000F2531" w:rsidRDefault="00A6697B" w:rsidP="00A6697B">
            <w:pPr>
              <w:rPr>
                <w:b/>
              </w:rPr>
            </w:pPr>
            <w:r w:rsidRPr="000F2531">
              <w:rPr>
                <w:sz w:val="24"/>
              </w:rPr>
              <w:t xml:space="preserve"> </w:t>
            </w:r>
            <w:r>
              <w:t>(n= 11)</w:t>
            </w:r>
          </w:p>
        </w:tc>
      </w:tr>
      <w:tr w:rsidR="00A6697B" w14:paraId="1D41DE04" w14:textId="77777777" w:rsidTr="00A6697B">
        <w:trPr>
          <w:trHeight w:val="257"/>
        </w:trPr>
        <w:tc>
          <w:tcPr>
            <w:tcW w:w="3510" w:type="dxa"/>
            <w:gridSpan w:val="2"/>
            <w:tcBorders>
              <w:top w:val="single" w:sz="8" w:space="0" w:color="auto"/>
            </w:tcBorders>
          </w:tcPr>
          <w:p w14:paraId="242EEFC4" w14:textId="77777777" w:rsidR="00A6697B" w:rsidRDefault="00A6697B" w:rsidP="00A6697B">
            <w:r>
              <w:t>Male, n (%)</w:t>
            </w:r>
          </w:p>
        </w:tc>
        <w:tc>
          <w:tcPr>
            <w:tcW w:w="2848" w:type="dxa"/>
            <w:tcBorders>
              <w:top w:val="single" w:sz="8" w:space="0" w:color="auto"/>
            </w:tcBorders>
          </w:tcPr>
          <w:p w14:paraId="37B1060C" w14:textId="77777777" w:rsidR="00A6697B" w:rsidRDefault="00A6697B" w:rsidP="00A6697B">
            <w:r>
              <w:t>8 (72)</w:t>
            </w:r>
          </w:p>
        </w:tc>
      </w:tr>
      <w:tr w:rsidR="00A6697B" w14:paraId="50544329" w14:textId="77777777" w:rsidTr="00A6697B">
        <w:trPr>
          <w:trHeight w:val="272"/>
        </w:trPr>
        <w:tc>
          <w:tcPr>
            <w:tcW w:w="3510" w:type="dxa"/>
            <w:gridSpan w:val="2"/>
          </w:tcPr>
          <w:p w14:paraId="02EF0943" w14:textId="77777777" w:rsidR="00A6697B" w:rsidRDefault="00A6697B" w:rsidP="00A6697B">
            <w:r>
              <w:t xml:space="preserve">Age (years) mean </w:t>
            </w:r>
            <w:r>
              <w:rPr>
                <w:rFonts w:cstheme="minorHAnsi"/>
              </w:rPr>
              <w:t>±</w:t>
            </w:r>
            <w:r>
              <w:t xml:space="preserve"> SD</w:t>
            </w:r>
          </w:p>
        </w:tc>
        <w:tc>
          <w:tcPr>
            <w:tcW w:w="2848" w:type="dxa"/>
          </w:tcPr>
          <w:p w14:paraId="2742FF98" w14:textId="77777777" w:rsidR="00A6697B" w:rsidRDefault="00A6697B" w:rsidP="00A6697B">
            <w:r>
              <w:t xml:space="preserve">66.5 </w:t>
            </w:r>
            <w:r>
              <w:rPr>
                <w:rFonts w:cstheme="minorHAnsi"/>
              </w:rPr>
              <w:t>±</w:t>
            </w:r>
            <w:r>
              <w:t xml:space="preserve"> 3</w:t>
            </w:r>
          </w:p>
        </w:tc>
      </w:tr>
      <w:tr w:rsidR="00A6697B" w14:paraId="203881E5" w14:textId="77777777" w:rsidTr="00A6697B">
        <w:trPr>
          <w:trHeight w:val="272"/>
        </w:trPr>
        <w:tc>
          <w:tcPr>
            <w:tcW w:w="3510" w:type="dxa"/>
            <w:gridSpan w:val="2"/>
          </w:tcPr>
          <w:p w14:paraId="4BA15DAD" w14:textId="77777777" w:rsidR="00A6697B" w:rsidRPr="008763E7" w:rsidRDefault="00A6697B" w:rsidP="00A6697B">
            <w:pPr>
              <w:rPr>
                <w:b/>
              </w:rPr>
            </w:pPr>
            <w:r w:rsidRPr="008763E7">
              <w:rPr>
                <w:b/>
              </w:rPr>
              <w:t>Risk Factors</w:t>
            </w:r>
          </w:p>
        </w:tc>
        <w:tc>
          <w:tcPr>
            <w:tcW w:w="2848" w:type="dxa"/>
          </w:tcPr>
          <w:p w14:paraId="08939144" w14:textId="77777777" w:rsidR="00A6697B" w:rsidRDefault="00A6697B" w:rsidP="00A6697B"/>
        </w:tc>
      </w:tr>
      <w:tr w:rsidR="00A6697B" w14:paraId="58CE1822" w14:textId="77777777" w:rsidTr="00A6697B">
        <w:trPr>
          <w:trHeight w:val="257"/>
        </w:trPr>
        <w:tc>
          <w:tcPr>
            <w:tcW w:w="3510" w:type="dxa"/>
            <w:gridSpan w:val="2"/>
          </w:tcPr>
          <w:p w14:paraId="32DBFDC4" w14:textId="77777777" w:rsidR="00A6697B" w:rsidRDefault="00A6697B" w:rsidP="00A6697B">
            <w:r>
              <w:t>Hypertension, n (%)</w:t>
            </w:r>
          </w:p>
        </w:tc>
        <w:tc>
          <w:tcPr>
            <w:tcW w:w="2848" w:type="dxa"/>
          </w:tcPr>
          <w:p w14:paraId="3CA31E4C" w14:textId="77777777" w:rsidR="00A6697B" w:rsidRDefault="00A6697B" w:rsidP="00A6697B">
            <w:r>
              <w:t>8 (72)</w:t>
            </w:r>
          </w:p>
        </w:tc>
      </w:tr>
      <w:tr w:rsidR="00A6697B" w14:paraId="47AB7661" w14:textId="77777777" w:rsidTr="00A6697B">
        <w:trPr>
          <w:trHeight w:val="272"/>
        </w:trPr>
        <w:tc>
          <w:tcPr>
            <w:tcW w:w="3510" w:type="dxa"/>
            <w:gridSpan w:val="2"/>
          </w:tcPr>
          <w:p w14:paraId="7580B7F9" w14:textId="77777777" w:rsidR="00A6697B" w:rsidRDefault="00A6697B" w:rsidP="00A6697B">
            <w:r>
              <w:t>Diabetes mellitus, n (%)</w:t>
            </w:r>
          </w:p>
        </w:tc>
        <w:tc>
          <w:tcPr>
            <w:tcW w:w="2848" w:type="dxa"/>
          </w:tcPr>
          <w:p w14:paraId="661ED3AD" w14:textId="77777777" w:rsidR="00A6697B" w:rsidRDefault="00A6697B" w:rsidP="00A6697B">
            <w:r>
              <w:t>0 (0)</w:t>
            </w:r>
          </w:p>
        </w:tc>
      </w:tr>
      <w:tr w:rsidR="00A6697B" w14:paraId="50DC378F" w14:textId="77777777" w:rsidTr="00A6697B">
        <w:trPr>
          <w:trHeight w:val="257"/>
        </w:trPr>
        <w:tc>
          <w:tcPr>
            <w:tcW w:w="3510" w:type="dxa"/>
            <w:gridSpan w:val="2"/>
          </w:tcPr>
          <w:p w14:paraId="17E93B9C" w14:textId="77777777" w:rsidR="00A6697B" w:rsidRDefault="00A6697B" w:rsidP="00A6697B">
            <w:r>
              <w:t>Hyperlipidemia, n (%)</w:t>
            </w:r>
          </w:p>
        </w:tc>
        <w:tc>
          <w:tcPr>
            <w:tcW w:w="2848" w:type="dxa"/>
          </w:tcPr>
          <w:p w14:paraId="69A09760" w14:textId="77777777" w:rsidR="00A6697B" w:rsidRDefault="00A6697B" w:rsidP="00A6697B">
            <w:r>
              <w:t>9 (81)</w:t>
            </w:r>
          </w:p>
        </w:tc>
      </w:tr>
      <w:tr w:rsidR="00A6697B" w14:paraId="7686D059" w14:textId="77777777" w:rsidTr="00A6697B">
        <w:trPr>
          <w:trHeight w:val="272"/>
        </w:trPr>
        <w:tc>
          <w:tcPr>
            <w:tcW w:w="3510" w:type="dxa"/>
            <w:gridSpan w:val="2"/>
          </w:tcPr>
          <w:p w14:paraId="2B4C4231" w14:textId="77777777" w:rsidR="00A6697B" w:rsidRDefault="00A6697B" w:rsidP="00A6697B">
            <w:r>
              <w:t>Smoking, n (%)</w:t>
            </w:r>
          </w:p>
        </w:tc>
        <w:tc>
          <w:tcPr>
            <w:tcW w:w="2848" w:type="dxa"/>
          </w:tcPr>
          <w:p w14:paraId="27941217" w14:textId="77777777" w:rsidR="00A6697B" w:rsidRDefault="00A6697B" w:rsidP="00A6697B">
            <w:r>
              <w:t>5 (45)</w:t>
            </w:r>
          </w:p>
        </w:tc>
      </w:tr>
      <w:tr w:rsidR="00A6697B" w14:paraId="601C0AC2" w14:textId="77777777" w:rsidTr="00A6697B">
        <w:trPr>
          <w:trHeight w:val="257"/>
        </w:trPr>
        <w:tc>
          <w:tcPr>
            <w:tcW w:w="3510" w:type="dxa"/>
            <w:gridSpan w:val="2"/>
          </w:tcPr>
          <w:p w14:paraId="2CF3D7ED" w14:textId="77777777" w:rsidR="00A6697B" w:rsidRDefault="00A6697B" w:rsidP="00A6697B">
            <w:r>
              <w:t>Anticoagulants, n (%)</w:t>
            </w:r>
          </w:p>
        </w:tc>
        <w:tc>
          <w:tcPr>
            <w:tcW w:w="2848" w:type="dxa"/>
          </w:tcPr>
          <w:p w14:paraId="21AF60A9" w14:textId="77777777" w:rsidR="00A6697B" w:rsidRDefault="00A6697B" w:rsidP="00A6697B">
            <w:r>
              <w:t>5 (45)</w:t>
            </w:r>
          </w:p>
        </w:tc>
      </w:tr>
      <w:tr w:rsidR="00A6697B" w14:paraId="6CAE0714" w14:textId="77777777" w:rsidTr="00A6697B">
        <w:trPr>
          <w:trHeight w:val="272"/>
        </w:trPr>
        <w:tc>
          <w:tcPr>
            <w:tcW w:w="3510" w:type="dxa"/>
            <w:gridSpan w:val="2"/>
          </w:tcPr>
          <w:p w14:paraId="2ED5ACBD" w14:textId="77777777" w:rsidR="00A6697B" w:rsidRPr="008763E7" w:rsidRDefault="00A6697B" w:rsidP="00A6697B">
            <w:pPr>
              <w:rPr>
                <w:b/>
              </w:rPr>
            </w:pPr>
            <w:r w:rsidRPr="008763E7">
              <w:rPr>
                <w:b/>
              </w:rPr>
              <w:t>Echocardiography</w:t>
            </w:r>
          </w:p>
        </w:tc>
        <w:tc>
          <w:tcPr>
            <w:tcW w:w="2848" w:type="dxa"/>
          </w:tcPr>
          <w:p w14:paraId="56509697" w14:textId="77777777" w:rsidR="00A6697B" w:rsidRDefault="00A6697B" w:rsidP="00A6697B"/>
        </w:tc>
      </w:tr>
      <w:tr w:rsidR="00A6697B" w14:paraId="2BD60DD3" w14:textId="77777777" w:rsidTr="00A6697B">
        <w:trPr>
          <w:trHeight w:val="272"/>
        </w:trPr>
        <w:tc>
          <w:tcPr>
            <w:tcW w:w="3510" w:type="dxa"/>
            <w:gridSpan w:val="2"/>
          </w:tcPr>
          <w:p w14:paraId="6B527D81" w14:textId="77777777" w:rsidR="00A6697B" w:rsidRDefault="00A6697B" w:rsidP="00A6697B">
            <w:r>
              <w:t>Peak gradient (mmHg)</w:t>
            </w:r>
          </w:p>
        </w:tc>
        <w:tc>
          <w:tcPr>
            <w:tcW w:w="2848" w:type="dxa"/>
          </w:tcPr>
          <w:p w14:paraId="56A5A5CA" w14:textId="77777777" w:rsidR="00A6697B" w:rsidRDefault="00A6697B" w:rsidP="00A6697B">
            <w:r>
              <w:t xml:space="preserve">60.8 </w:t>
            </w:r>
            <w:r>
              <w:rPr>
                <w:rFonts w:cstheme="minorHAnsi"/>
              </w:rPr>
              <w:t>±</w:t>
            </w:r>
            <w:r>
              <w:t xml:space="preserve"> 6</w:t>
            </w:r>
          </w:p>
        </w:tc>
      </w:tr>
      <w:tr w:rsidR="00A6697B" w14:paraId="0F790E3A" w14:textId="77777777" w:rsidTr="00A6697B">
        <w:trPr>
          <w:trHeight w:val="257"/>
        </w:trPr>
        <w:tc>
          <w:tcPr>
            <w:tcW w:w="3510" w:type="dxa"/>
            <w:gridSpan w:val="2"/>
          </w:tcPr>
          <w:p w14:paraId="4DDD3084" w14:textId="77777777" w:rsidR="00A6697B" w:rsidRDefault="00A6697B" w:rsidP="00A6697B">
            <w:r>
              <w:t>Mean gradient (mmHg)</w:t>
            </w:r>
          </w:p>
        </w:tc>
        <w:tc>
          <w:tcPr>
            <w:tcW w:w="2848" w:type="dxa"/>
          </w:tcPr>
          <w:p w14:paraId="399B2221" w14:textId="77777777" w:rsidR="00A6697B" w:rsidRDefault="00A6697B" w:rsidP="00A6697B">
            <w:r>
              <w:t xml:space="preserve">36.7 </w:t>
            </w:r>
            <w:r>
              <w:rPr>
                <w:rFonts w:cstheme="minorHAnsi"/>
              </w:rPr>
              <w:t>±</w:t>
            </w:r>
            <w:r>
              <w:t xml:space="preserve"> 4</w:t>
            </w:r>
          </w:p>
        </w:tc>
      </w:tr>
      <w:tr w:rsidR="00A6697B" w14:paraId="57EDE8DE" w14:textId="77777777" w:rsidTr="00A6697B">
        <w:trPr>
          <w:trHeight w:val="272"/>
        </w:trPr>
        <w:tc>
          <w:tcPr>
            <w:tcW w:w="3510" w:type="dxa"/>
            <w:gridSpan w:val="2"/>
          </w:tcPr>
          <w:p w14:paraId="3223906D" w14:textId="77777777" w:rsidR="00A6697B" w:rsidRDefault="00A6697B" w:rsidP="00A6697B">
            <w:r>
              <w:t>LVEF (%) mean</w:t>
            </w:r>
          </w:p>
        </w:tc>
        <w:tc>
          <w:tcPr>
            <w:tcW w:w="2848" w:type="dxa"/>
          </w:tcPr>
          <w:p w14:paraId="196878C5" w14:textId="77777777" w:rsidR="00A6697B" w:rsidRDefault="00A6697B" w:rsidP="00A6697B">
            <w:r>
              <w:t xml:space="preserve">64.7 </w:t>
            </w:r>
            <w:r>
              <w:rPr>
                <w:rFonts w:cstheme="minorHAnsi"/>
              </w:rPr>
              <w:t>±</w:t>
            </w:r>
            <w:r>
              <w:t xml:space="preserve"> 0.01</w:t>
            </w:r>
          </w:p>
        </w:tc>
      </w:tr>
      <w:tr w:rsidR="00A6697B" w14:paraId="41FF894B" w14:textId="77777777" w:rsidTr="00A6697B">
        <w:trPr>
          <w:trHeight w:val="272"/>
        </w:trPr>
        <w:tc>
          <w:tcPr>
            <w:tcW w:w="3510" w:type="dxa"/>
            <w:gridSpan w:val="2"/>
            <w:tcBorders>
              <w:bottom w:val="single" w:sz="8" w:space="0" w:color="auto"/>
            </w:tcBorders>
          </w:tcPr>
          <w:p w14:paraId="5D0B7B8A" w14:textId="77777777" w:rsidR="00A6697B" w:rsidRDefault="00A6697B" w:rsidP="00A6697B">
            <w:r>
              <w:t>AVA (cm2)</w:t>
            </w:r>
          </w:p>
        </w:tc>
        <w:tc>
          <w:tcPr>
            <w:tcW w:w="2848" w:type="dxa"/>
            <w:tcBorders>
              <w:bottom w:val="single" w:sz="8" w:space="0" w:color="auto"/>
            </w:tcBorders>
          </w:tcPr>
          <w:p w14:paraId="1C8F56BE" w14:textId="77777777" w:rsidR="00A6697B" w:rsidRDefault="00A6697B" w:rsidP="00A6697B">
            <w:r>
              <w:t xml:space="preserve">0.94 </w:t>
            </w:r>
            <w:r>
              <w:rPr>
                <w:rFonts w:cstheme="minorHAnsi"/>
              </w:rPr>
              <w:t>±</w:t>
            </w:r>
            <w:r>
              <w:t xml:space="preserve"> 0.15</w:t>
            </w:r>
          </w:p>
        </w:tc>
      </w:tr>
      <w:tr w:rsidR="00A6697B" w14:paraId="3E631371" w14:textId="77777777" w:rsidTr="00A6697B">
        <w:trPr>
          <w:trHeight w:val="272"/>
        </w:trPr>
        <w:tc>
          <w:tcPr>
            <w:tcW w:w="3510" w:type="dxa"/>
            <w:gridSpan w:val="2"/>
            <w:tcBorders>
              <w:top w:val="single" w:sz="8" w:space="0" w:color="auto"/>
            </w:tcBorders>
          </w:tcPr>
          <w:p w14:paraId="0342ED06" w14:textId="77777777" w:rsidR="00A6697B" w:rsidRDefault="00A6697B" w:rsidP="00A6697B"/>
        </w:tc>
        <w:tc>
          <w:tcPr>
            <w:tcW w:w="2848" w:type="dxa"/>
            <w:tcBorders>
              <w:top w:val="single" w:sz="8" w:space="0" w:color="auto"/>
            </w:tcBorders>
          </w:tcPr>
          <w:p w14:paraId="398BAC70" w14:textId="77777777" w:rsidR="00A6697B" w:rsidRDefault="00A6697B" w:rsidP="00A6697B"/>
        </w:tc>
      </w:tr>
    </w:tbl>
    <w:p w14:paraId="263E6856" w14:textId="7D1B6B55" w:rsidR="00A6697B" w:rsidRPr="00A6697B" w:rsidRDefault="003B483D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19CAF" wp14:editId="67413BBD">
                <wp:simplePos x="0" y="0"/>
                <wp:positionH relativeFrom="column">
                  <wp:posOffset>-381000</wp:posOffset>
                </wp:positionH>
                <wp:positionV relativeFrom="paragraph">
                  <wp:posOffset>3771900</wp:posOffset>
                </wp:positionV>
                <wp:extent cx="6391275" cy="37909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790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A4C95C" w14:textId="4919B066" w:rsidR="003B483D" w:rsidRDefault="003B483D">
                            <w:r w:rsidRPr="003B483D">
                              <w:rPr>
                                <w:noProof/>
                              </w:rPr>
                              <w:drawing>
                                <wp:inline distT="0" distB="0" distL="0" distR="0" wp14:anchorId="211BF9B7" wp14:editId="75E7CB11">
                                  <wp:extent cx="6202045" cy="306242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2045" cy="3062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F19C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pt;margin-top:297pt;width:503.25pt;height:29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" fillcolor="white [3201]" stroked="f" strokeweight=".5pt">
                <v:textbox>
                  <w:txbxContent>
                    <w:p w14:paraId="19A4C95C" w14:textId="4919B066" w:rsidR="003B483D" w:rsidRDefault="003B483D">
                      <w:r w:rsidRPr="003B483D">
                        <w:rPr>
                          <w:noProof/>
                        </w:rPr>
                        <w:drawing>
                          <wp:inline distT="0" distB="0" distL="0" distR="0" wp14:anchorId="211BF9B7" wp14:editId="75E7CB11">
                            <wp:extent cx="6202045" cy="3062421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2045" cy="30624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6697B" w:rsidRPr="00A6697B">
        <w:rPr>
          <w:b/>
        </w:rPr>
        <w:t>Table 1</w:t>
      </w:r>
    </w:p>
    <w:sectPr w:rsidR="00A6697B" w:rsidRPr="00A66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CF"/>
    <w:rsid w:val="00007F0C"/>
    <w:rsid w:val="000A7746"/>
    <w:rsid w:val="000E0C68"/>
    <w:rsid w:val="001103A2"/>
    <w:rsid w:val="00115AC5"/>
    <w:rsid w:val="00132A96"/>
    <w:rsid w:val="00133E31"/>
    <w:rsid w:val="00160227"/>
    <w:rsid w:val="00283D06"/>
    <w:rsid w:val="002A73B2"/>
    <w:rsid w:val="002B565B"/>
    <w:rsid w:val="0037313A"/>
    <w:rsid w:val="003B483D"/>
    <w:rsid w:val="00416885"/>
    <w:rsid w:val="004246F3"/>
    <w:rsid w:val="0042678E"/>
    <w:rsid w:val="0044602B"/>
    <w:rsid w:val="0048644A"/>
    <w:rsid w:val="004908B1"/>
    <w:rsid w:val="004A2CF1"/>
    <w:rsid w:val="004F24AF"/>
    <w:rsid w:val="00530383"/>
    <w:rsid w:val="00531758"/>
    <w:rsid w:val="005529D7"/>
    <w:rsid w:val="005610BA"/>
    <w:rsid w:val="005D56D3"/>
    <w:rsid w:val="00632191"/>
    <w:rsid w:val="00643DF0"/>
    <w:rsid w:val="006B3328"/>
    <w:rsid w:val="006D5785"/>
    <w:rsid w:val="006E3B38"/>
    <w:rsid w:val="00781B8E"/>
    <w:rsid w:val="007A31A5"/>
    <w:rsid w:val="00815A7C"/>
    <w:rsid w:val="0081734C"/>
    <w:rsid w:val="00837A2E"/>
    <w:rsid w:val="00867D6D"/>
    <w:rsid w:val="00874304"/>
    <w:rsid w:val="008E378E"/>
    <w:rsid w:val="008E6496"/>
    <w:rsid w:val="00944D9B"/>
    <w:rsid w:val="009506DE"/>
    <w:rsid w:val="00951FFA"/>
    <w:rsid w:val="00954E41"/>
    <w:rsid w:val="009E394E"/>
    <w:rsid w:val="00A6697B"/>
    <w:rsid w:val="00B478F2"/>
    <w:rsid w:val="00B548A8"/>
    <w:rsid w:val="00B968D3"/>
    <w:rsid w:val="00BC6747"/>
    <w:rsid w:val="00BD31EA"/>
    <w:rsid w:val="00BE1AC1"/>
    <w:rsid w:val="00BE3017"/>
    <w:rsid w:val="00BF2F26"/>
    <w:rsid w:val="00BF3C85"/>
    <w:rsid w:val="00C05B01"/>
    <w:rsid w:val="00C42C35"/>
    <w:rsid w:val="00C42CB3"/>
    <w:rsid w:val="00D01CF7"/>
    <w:rsid w:val="00D043D6"/>
    <w:rsid w:val="00D57AD4"/>
    <w:rsid w:val="00D843A1"/>
    <w:rsid w:val="00D94A0C"/>
    <w:rsid w:val="00E051CF"/>
    <w:rsid w:val="00EF77A1"/>
    <w:rsid w:val="00F0629E"/>
    <w:rsid w:val="00F814CA"/>
    <w:rsid w:val="00F82D4E"/>
    <w:rsid w:val="00FB0018"/>
    <w:rsid w:val="00FB7764"/>
    <w:rsid w:val="00FC0385"/>
    <w:rsid w:val="3985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765BB"/>
  <w15:chartTrackingRefBased/>
  <w15:docId w15:val="{818F02A2-7609-415F-888D-68E24953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1E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66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1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B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Amber R</dc:creator>
  <cp:keywords/>
  <dc:description/>
  <cp:lastModifiedBy>Howard, Amber R</cp:lastModifiedBy>
  <cp:revision>5</cp:revision>
  <cp:lastPrinted>2018-06-05T22:00:00Z</cp:lastPrinted>
  <dcterms:created xsi:type="dcterms:W3CDTF">2018-06-07T23:29:00Z</dcterms:created>
  <dcterms:modified xsi:type="dcterms:W3CDTF">2018-06-29T18:57:00Z</dcterms:modified>
</cp:coreProperties>
</file>