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5292" w:rsidRDefault="00F35292" w:rsidP="00F35292">
      <w:pPr>
        <w:widowControl/>
        <w:shd w:val="clear" w:color="auto" w:fill="FFFFFF"/>
        <w:jc w:val="left"/>
        <w:rPr>
          <w:rFonts w:ascii="Calibri" w:eastAsia="宋体" w:hAnsi="Calibri" w:cs="Calibri"/>
          <w:b/>
          <w:color w:val="000000"/>
          <w:kern w:val="0"/>
          <w:sz w:val="28"/>
          <w:szCs w:val="28"/>
        </w:rPr>
      </w:pPr>
      <w:r w:rsidRPr="00457EAA">
        <w:rPr>
          <w:rFonts w:ascii="Calibri" w:eastAsia="宋体" w:hAnsi="Calibri" w:cs="Calibri"/>
          <w:b/>
          <w:color w:val="000000"/>
          <w:kern w:val="0"/>
          <w:sz w:val="28"/>
          <w:szCs w:val="28"/>
        </w:rPr>
        <w:t>Surface modification with novel peptide to improve tissue integration</w:t>
      </w:r>
    </w:p>
    <w:p w:rsidR="007D1A36" w:rsidRPr="007D1A36" w:rsidRDefault="007D1A36" w:rsidP="007D1A36">
      <w:pPr>
        <w:rPr>
          <w:rFonts w:hint="eastAsia"/>
          <w:sz w:val="18"/>
          <w:szCs w:val="18"/>
        </w:rPr>
      </w:pPr>
      <w:r w:rsidRPr="00376CB5">
        <w:rPr>
          <w:sz w:val="18"/>
          <w:szCs w:val="18"/>
        </w:rPr>
        <w:t>Jian Zhou</w:t>
      </w:r>
      <w:r w:rsidRPr="00376CB5">
        <w:rPr>
          <w:sz w:val="18"/>
          <w:szCs w:val="18"/>
          <w:vertAlign w:val="superscript"/>
        </w:rPr>
        <w:t>1</w:t>
      </w:r>
      <w:r w:rsidRPr="00376CB5">
        <w:rPr>
          <w:sz w:val="18"/>
          <w:szCs w:val="18"/>
        </w:rPr>
        <w:t>, Tzong-Jen Sheu</w:t>
      </w:r>
      <w:r w:rsidRPr="00376CB5">
        <w:rPr>
          <w:sz w:val="18"/>
          <w:szCs w:val="18"/>
          <w:vertAlign w:val="superscript"/>
        </w:rPr>
        <w:t>2</w:t>
      </w:r>
      <w:r w:rsidRPr="00376CB5">
        <w:rPr>
          <w:sz w:val="18"/>
          <w:szCs w:val="18"/>
        </w:rPr>
        <w:t xml:space="preserve">, </w:t>
      </w:r>
      <w:r>
        <w:rPr>
          <w:sz w:val="18"/>
          <w:szCs w:val="18"/>
        </w:rPr>
        <w:t>Bianhong Wang</w:t>
      </w:r>
      <w:r w:rsidRPr="00FD2D83">
        <w:rPr>
          <w:sz w:val="18"/>
          <w:szCs w:val="18"/>
          <w:vertAlign w:val="superscript"/>
        </w:rPr>
        <w:t>3</w:t>
      </w:r>
      <w:r>
        <w:rPr>
          <w:sz w:val="18"/>
          <w:szCs w:val="18"/>
        </w:rPr>
        <w:t>, Jun Xu</w:t>
      </w:r>
      <w:r w:rsidRPr="00FD2D83">
        <w:rPr>
          <w:sz w:val="18"/>
          <w:szCs w:val="18"/>
          <w:vertAlign w:val="superscript"/>
        </w:rPr>
        <w:t>1</w:t>
      </w:r>
      <w:r>
        <w:rPr>
          <w:sz w:val="18"/>
          <w:szCs w:val="18"/>
        </w:rPr>
        <w:t>, Yingying Su</w:t>
      </w:r>
      <w:r w:rsidRPr="00FD2D83">
        <w:rPr>
          <w:sz w:val="18"/>
          <w:szCs w:val="18"/>
          <w:vertAlign w:val="superscript"/>
        </w:rPr>
        <w:t>4</w:t>
      </w:r>
      <w:r>
        <w:rPr>
          <w:sz w:val="18"/>
          <w:szCs w:val="18"/>
        </w:rPr>
        <w:t>, Tingting Guo</w:t>
      </w:r>
      <w:r w:rsidRPr="00FD2D83">
        <w:rPr>
          <w:sz w:val="18"/>
          <w:szCs w:val="18"/>
          <w:vertAlign w:val="superscript"/>
        </w:rPr>
        <w:t>1</w:t>
      </w:r>
      <w:r>
        <w:rPr>
          <w:sz w:val="18"/>
          <w:szCs w:val="18"/>
        </w:rPr>
        <w:t xml:space="preserve">, </w:t>
      </w:r>
      <w:r w:rsidRPr="00376CB5">
        <w:rPr>
          <w:sz w:val="18"/>
          <w:szCs w:val="18"/>
        </w:rPr>
        <w:t>DengSheng Xia</w:t>
      </w:r>
      <w:r w:rsidRPr="00376CB5">
        <w:rPr>
          <w:sz w:val="18"/>
          <w:szCs w:val="18"/>
          <w:vertAlign w:val="superscript"/>
        </w:rPr>
        <w:t>1</w:t>
      </w:r>
      <w:r w:rsidRPr="00376CB5">
        <w:rPr>
          <w:sz w:val="18"/>
          <w:szCs w:val="18"/>
        </w:rPr>
        <w:t>, Hao Wang</w:t>
      </w:r>
      <w:r>
        <w:rPr>
          <w:sz w:val="18"/>
          <w:szCs w:val="18"/>
          <w:vertAlign w:val="superscript"/>
        </w:rPr>
        <w:t>4</w:t>
      </w:r>
      <w:r w:rsidRPr="00376CB5">
        <w:rPr>
          <w:sz w:val="18"/>
          <w:szCs w:val="18"/>
        </w:rPr>
        <w:t xml:space="preserve"> </w:t>
      </w:r>
    </w:p>
    <w:p w:rsidR="007D1A36" w:rsidRPr="00376CB5" w:rsidRDefault="007D1A36" w:rsidP="007D1A36">
      <w:pPr>
        <w:rPr>
          <w:sz w:val="18"/>
          <w:szCs w:val="18"/>
        </w:rPr>
      </w:pPr>
      <w:r w:rsidRPr="00376CB5">
        <w:rPr>
          <w:sz w:val="18"/>
          <w:szCs w:val="18"/>
        </w:rPr>
        <w:t xml:space="preserve">1 Department of general dentistry, Beijing stomatology Hospital, Capital Medical University, Beijing, China </w:t>
      </w:r>
    </w:p>
    <w:p w:rsidR="007D1A36" w:rsidRPr="00376CB5" w:rsidRDefault="007D1A36" w:rsidP="007D1A36">
      <w:pPr>
        <w:rPr>
          <w:sz w:val="18"/>
          <w:szCs w:val="18"/>
        </w:rPr>
      </w:pPr>
      <w:r w:rsidRPr="00376CB5">
        <w:rPr>
          <w:sz w:val="18"/>
          <w:szCs w:val="18"/>
        </w:rPr>
        <w:t>2 School of Medicine and Dentistry, University of Rochester Medical Center, Rochester, NY U.S.A</w:t>
      </w:r>
    </w:p>
    <w:p w:rsidR="007D1A36" w:rsidRDefault="007D1A36" w:rsidP="007D1A36">
      <w:pPr>
        <w:rPr>
          <w:sz w:val="18"/>
          <w:szCs w:val="18"/>
        </w:rPr>
      </w:pPr>
      <w:r w:rsidRPr="00376CB5">
        <w:rPr>
          <w:sz w:val="18"/>
          <w:szCs w:val="18"/>
        </w:rPr>
        <w:t xml:space="preserve">3 Department of Stomatology, Beijing </w:t>
      </w:r>
      <w:r>
        <w:rPr>
          <w:sz w:val="18"/>
          <w:szCs w:val="18"/>
        </w:rPr>
        <w:t>Friendship</w:t>
      </w:r>
      <w:r w:rsidRPr="00376CB5">
        <w:rPr>
          <w:sz w:val="18"/>
          <w:szCs w:val="18"/>
        </w:rPr>
        <w:t xml:space="preserve"> Hospital, Capital Medical University, Beijing, China</w:t>
      </w:r>
    </w:p>
    <w:p w:rsidR="007D1A36" w:rsidRPr="007D1A36" w:rsidRDefault="007D1A36" w:rsidP="007D1A36">
      <w:pPr>
        <w:rPr>
          <w:rFonts w:hint="eastAsia"/>
          <w:sz w:val="18"/>
          <w:szCs w:val="18"/>
        </w:rPr>
      </w:pPr>
      <w:r>
        <w:rPr>
          <w:sz w:val="18"/>
          <w:szCs w:val="18"/>
        </w:rPr>
        <w:t>4</w:t>
      </w:r>
      <w:r w:rsidRPr="00FD2D83">
        <w:rPr>
          <w:sz w:val="18"/>
          <w:szCs w:val="18"/>
        </w:rPr>
        <w:t xml:space="preserve"> Department of Stomatology, Beijing TianTan Hospital, Capital Medical University, Beijing, China</w:t>
      </w:r>
    </w:p>
    <w:p w:rsidR="00F35292" w:rsidRPr="00F35292" w:rsidRDefault="00F35292" w:rsidP="00F35292">
      <w:pPr>
        <w:widowControl/>
        <w:shd w:val="clear" w:color="auto" w:fill="FFFFFF"/>
        <w:jc w:val="left"/>
        <w:rPr>
          <w:rFonts w:ascii="Calibri" w:eastAsia="宋体" w:hAnsi="Calibri" w:cs="Calibri"/>
          <w:color w:val="000000"/>
          <w:kern w:val="0"/>
          <w:sz w:val="24"/>
          <w:szCs w:val="24"/>
        </w:rPr>
      </w:pPr>
      <w:r w:rsidRPr="00F35292">
        <w:rPr>
          <w:rFonts w:ascii="Calibri" w:eastAsia="宋体" w:hAnsi="Calibri" w:cs="Calibri"/>
          <w:color w:val="000000"/>
          <w:kern w:val="0"/>
          <w:sz w:val="24"/>
          <w:szCs w:val="24"/>
        </w:rPr>
        <w:t>Background</w:t>
      </w:r>
    </w:p>
    <w:p w:rsidR="00F35292" w:rsidRPr="00F35292" w:rsidRDefault="00F35292" w:rsidP="00F35292">
      <w:pPr>
        <w:widowControl/>
        <w:shd w:val="clear" w:color="auto" w:fill="FFFFFF"/>
        <w:jc w:val="left"/>
        <w:rPr>
          <w:rFonts w:ascii="Calibri" w:eastAsia="宋体" w:hAnsi="Calibri" w:cs="Calibri"/>
          <w:color w:val="000000"/>
          <w:kern w:val="0"/>
          <w:sz w:val="24"/>
          <w:szCs w:val="24"/>
        </w:rPr>
      </w:pPr>
      <w:r w:rsidRPr="00F35292">
        <w:rPr>
          <w:rFonts w:ascii="Calibri" w:eastAsia="宋体" w:hAnsi="Calibri" w:cs="Calibri"/>
          <w:color w:val="000000"/>
          <w:kern w:val="0"/>
          <w:sz w:val="24"/>
          <w:szCs w:val="24"/>
        </w:rPr>
        <w:t>Conventional dental implants are anchored in the alveolar bone through osseointegration.  Whereas conventional dental implants are highly successful for patients with sufficient alveolar bone support, osseointegration in children and adolescents is counter-indicated because titanium will submerge in the growing alveolar bone.  Our preliminary data demonstrate a novel approach for tissue regeneration by homing the endogenous stem/progenitor cells and then differentiating the cells into the proper cell types to regenerate the functional periodontal tissues.</w:t>
      </w:r>
    </w:p>
    <w:p w:rsidR="00F35292" w:rsidRPr="00F35292" w:rsidRDefault="00F35292" w:rsidP="00F35292">
      <w:pPr>
        <w:widowControl/>
        <w:shd w:val="clear" w:color="auto" w:fill="FFFFFF"/>
        <w:jc w:val="left"/>
        <w:rPr>
          <w:rFonts w:ascii="Calibri" w:eastAsia="宋体" w:hAnsi="Calibri" w:cs="Calibri"/>
          <w:color w:val="000000"/>
          <w:kern w:val="0"/>
          <w:sz w:val="24"/>
          <w:szCs w:val="24"/>
        </w:rPr>
      </w:pPr>
      <w:r w:rsidRPr="00F35292">
        <w:rPr>
          <w:rFonts w:ascii="Calibri" w:eastAsia="宋体" w:hAnsi="Calibri" w:cs="Calibri"/>
          <w:color w:val="000000"/>
          <w:kern w:val="0"/>
          <w:sz w:val="24"/>
          <w:szCs w:val="24"/>
        </w:rPr>
        <w:t>Aim/Hypothesis</w:t>
      </w:r>
    </w:p>
    <w:p w:rsidR="00F35292" w:rsidRPr="00F35292" w:rsidRDefault="00F35292" w:rsidP="00F35292">
      <w:pPr>
        <w:widowControl/>
        <w:shd w:val="clear" w:color="auto" w:fill="FFFFFF"/>
        <w:jc w:val="left"/>
        <w:rPr>
          <w:rFonts w:ascii="Calibri" w:eastAsia="宋体" w:hAnsi="Calibri" w:cs="Calibri"/>
          <w:color w:val="000000"/>
          <w:kern w:val="0"/>
          <w:sz w:val="24"/>
          <w:szCs w:val="24"/>
        </w:rPr>
      </w:pPr>
      <w:r w:rsidRPr="00F35292">
        <w:rPr>
          <w:rFonts w:ascii="Calibri" w:eastAsia="宋体" w:hAnsi="Calibri" w:cs="Calibri"/>
          <w:color w:val="000000"/>
          <w:kern w:val="0"/>
          <w:sz w:val="24"/>
          <w:szCs w:val="24"/>
        </w:rPr>
        <w:t>The aim is to induce the formation of cementum on titanium dental implant surface with embedded PDL that anchor between cementum and alveolar bone. Our hypothesis is that upon delivering amelogenin as a migration cue and differentiation factor, the host cells can be recruited and form cementum and periodontal ligament on the surface of titanium implant.  </w:t>
      </w:r>
    </w:p>
    <w:p w:rsidR="00F35292" w:rsidRPr="00F35292" w:rsidRDefault="00F35292" w:rsidP="00F35292">
      <w:pPr>
        <w:widowControl/>
        <w:shd w:val="clear" w:color="auto" w:fill="FFFFFF"/>
        <w:jc w:val="left"/>
        <w:rPr>
          <w:rFonts w:ascii="Calibri" w:eastAsia="宋体" w:hAnsi="Calibri" w:cs="Calibri"/>
          <w:color w:val="000000"/>
          <w:kern w:val="0"/>
          <w:sz w:val="24"/>
          <w:szCs w:val="24"/>
        </w:rPr>
      </w:pPr>
      <w:r w:rsidRPr="00F35292">
        <w:rPr>
          <w:rFonts w:ascii="Calibri" w:eastAsia="宋体" w:hAnsi="Calibri" w:cs="Calibri"/>
          <w:color w:val="000000"/>
          <w:kern w:val="0"/>
          <w:sz w:val="24"/>
          <w:szCs w:val="24"/>
        </w:rPr>
        <w:t>Material and Methods</w:t>
      </w:r>
    </w:p>
    <w:p w:rsidR="00F35292" w:rsidRPr="00F35292" w:rsidRDefault="00F35292" w:rsidP="00F35292">
      <w:pPr>
        <w:widowControl/>
        <w:shd w:val="clear" w:color="auto" w:fill="FFFFFF"/>
        <w:jc w:val="left"/>
        <w:rPr>
          <w:rFonts w:ascii="Calibri" w:eastAsia="宋体" w:hAnsi="Calibri" w:cs="Calibri"/>
          <w:color w:val="000000"/>
          <w:kern w:val="0"/>
          <w:sz w:val="24"/>
          <w:szCs w:val="24"/>
        </w:rPr>
      </w:pPr>
      <w:r w:rsidRPr="00F35292">
        <w:rPr>
          <w:rFonts w:ascii="Calibri" w:eastAsia="宋体" w:hAnsi="Calibri" w:cs="Calibri"/>
          <w:color w:val="000000"/>
          <w:kern w:val="0"/>
          <w:sz w:val="24"/>
          <w:szCs w:val="24"/>
        </w:rPr>
        <w:t>Human periodontal ligament cells were harvested from dental clinic at the Beijing Stomatology Hospital, followed by the IRB approval and patient consent.  The cells were cultured at DNEM containing 10% serum and antibiotics. All chemical reagents were purchased from Sigma. Gene expression probes were purchased from Thermo Scientific. All plasmids were synthesized by Genescript. Titanium disc surface modification were conducted as following: In order to absorb amelogenin on the titanium surface, we developed an efficient method of surface modification that introduces the nanonetwork structures with titania nanosheet. We used NaOH solutions with concentrations of 2.5, 5.0, 7.5, 10.0, and 12.5 M. To improve the amelogenin coating, we further coated the etched titanium disc with PEI that carrying postive charge as described15, and then immerged the impant into the 1mg/ml Amelogenin solution with pH=4. At the low pH, Amelogenin carries negative charge. Histological analysis, Scanning Electron Microscope (SEM) and Atomic Force Microscope (AFM) were conducted following standard protocols as described in the previous publications. </w:t>
      </w:r>
    </w:p>
    <w:p w:rsidR="00F35292" w:rsidRPr="00F35292" w:rsidRDefault="00F35292" w:rsidP="00F35292">
      <w:pPr>
        <w:widowControl/>
        <w:shd w:val="clear" w:color="auto" w:fill="FFFFFF"/>
        <w:jc w:val="left"/>
        <w:rPr>
          <w:rFonts w:ascii="Calibri" w:eastAsia="宋体" w:hAnsi="Calibri" w:cs="Calibri"/>
          <w:color w:val="000000"/>
          <w:kern w:val="0"/>
          <w:sz w:val="24"/>
          <w:szCs w:val="24"/>
        </w:rPr>
      </w:pPr>
      <w:r w:rsidRPr="00F35292">
        <w:rPr>
          <w:rFonts w:ascii="Calibri" w:eastAsia="宋体" w:hAnsi="Calibri" w:cs="Calibri"/>
          <w:color w:val="000000"/>
          <w:kern w:val="0"/>
          <w:sz w:val="24"/>
          <w:szCs w:val="24"/>
        </w:rPr>
        <w:t>Results</w:t>
      </w:r>
    </w:p>
    <w:p w:rsidR="00F35292" w:rsidRPr="00F35292" w:rsidRDefault="00F35292" w:rsidP="00F35292">
      <w:pPr>
        <w:widowControl/>
        <w:shd w:val="clear" w:color="auto" w:fill="FFFFFF"/>
        <w:jc w:val="left"/>
        <w:rPr>
          <w:rFonts w:ascii="Calibri" w:eastAsia="宋体" w:hAnsi="Calibri" w:cs="Calibri"/>
          <w:color w:val="000000"/>
          <w:kern w:val="0"/>
          <w:sz w:val="24"/>
          <w:szCs w:val="24"/>
        </w:rPr>
      </w:pPr>
      <w:r w:rsidRPr="00F35292">
        <w:rPr>
          <w:rFonts w:ascii="Calibri" w:eastAsia="宋体" w:hAnsi="Calibri" w:cs="Calibri"/>
          <w:color w:val="000000"/>
          <w:kern w:val="0"/>
          <w:sz w:val="24"/>
          <w:szCs w:val="24"/>
        </w:rPr>
        <w:t xml:space="preserve">Our results demonstrated that amelogenin promotes the mesenchymal stem/progenitor cells migration and differentiation into cemento/osteoblast with a significant increase of the expression of cementum marker genes, including Osteocalcin, Runx2, CEMP-1, and type I collagen.  Our results are consistent with the </w:t>
      </w:r>
      <w:r w:rsidRPr="00F35292">
        <w:rPr>
          <w:rFonts w:ascii="Calibri" w:eastAsia="宋体" w:hAnsi="Calibri" w:cs="Calibri"/>
          <w:color w:val="000000"/>
          <w:kern w:val="0"/>
          <w:sz w:val="24"/>
          <w:szCs w:val="24"/>
        </w:rPr>
        <w:lastRenderedPageBreak/>
        <w:t>clinical observations that cementum, periodontal ligament and alveolar bone can be regenerated by treatment with enamel matrix derivative (EMD), in which amelogenin and its alternative splicing products are the major component (&gt;95%).  Our data also showed that, in vivo, amelogenin can act as a signaling molecule that induces the mineralized matrix deposition and formation of cementum PDL-like interface structure with vertical Sharpey’s fibers inserting into the cementum-like tissues. With the state of the art layer by layer technology, we have optimized the modification condition and successfully coated the titanium surface with the recombinant amelogenin. The modified surface showed an increased cell adhesion, differentiation and matrix deposition.</w:t>
      </w:r>
    </w:p>
    <w:p w:rsidR="00F35292" w:rsidRPr="00F35292" w:rsidRDefault="00F35292" w:rsidP="00F35292">
      <w:pPr>
        <w:widowControl/>
        <w:shd w:val="clear" w:color="auto" w:fill="FFFFFF"/>
        <w:jc w:val="left"/>
        <w:rPr>
          <w:rFonts w:ascii="Calibri" w:eastAsia="宋体" w:hAnsi="Calibri" w:cs="Calibri"/>
          <w:color w:val="000000"/>
          <w:kern w:val="0"/>
          <w:sz w:val="24"/>
          <w:szCs w:val="24"/>
        </w:rPr>
      </w:pPr>
      <w:r w:rsidRPr="00F35292">
        <w:rPr>
          <w:rFonts w:ascii="Calibri" w:eastAsia="宋体" w:hAnsi="Calibri" w:cs="Calibri"/>
          <w:color w:val="000000"/>
          <w:kern w:val="0"/>
          <w:sz w:val="24"/>
          <w:szCs w:val="24"/>
        </w:rPr>
        <w:t>Conclusion and clinical indication</w:t>
      </w:r>
    </w:p>
    <w:p w:rsidR="00F412C1" w:rsidRPr="007D1A36" w:rsidRDefault="00F35292" w:rsidP="007D1A36">
      <w:pPr>
        <w:widowControl/>
        <w:shd w:val="clear" w:color="auto" w:fill="FFFFFF"/>
        <w:jc w:val="left"/>
        <w:rPr>
          <w:rFonts w:ascii="Calibri" w:eastAsia="宋体" w:hAnsi="Calibri" w:cs="Calibri" w:hint="eastAsia"/>
          <w:color w:val="000000"/>
          <w:kern w:val="0"/>
          <w:sz w:val="24"/>
          <w:szCs w:val="24"/>
        </w:rPr>
      </w:pPr>
      <w:r w:rsidRPr="00F35292">
        <w:rPr>
          <w:rFonts w:ascii="Calibri" w:eastAsia="宋体" w:hAnsi="Calibri" w:cs="Calibri"/>
          <w:color w:val="000000"/>
          <w:kern w:val="0"/>
          <w:sz w:val="24"/>
          <w:szCs w:val="24"/>
        </w:rPr>
        <w:t>Because the dental implant integrates into the jaw bone without interposed periodontal ligament between bone and implant fixture, it doesn’t erupt. Implant and implant crown placed in the child with ongoing skeletal growth are likely to end up having lower occlusal surface and lower gingival margin. Implant with periodontal ligament and cementum also minimizes alveolar bone or soft tissue resorption. Therefore, regeneration of periodontal ligament and cementum on the surface of titanium implant will have a significant impact on the success rate and application of dental implant.</w:t>
      </w:r>
    </w:p>
    <w:p w:rsidR="007D1A36" w:rsidRPr="007D1A36" w:rsidRDefault="007D1A36">
      <w:pPr>
        <w:rPr>
          <w:rFonts w:hint="eastAsia"/>
        </w:rPr>
      </w:pPr>
      <w:r w:rsidRPr="007D1A36">
        <w:t>Research support was provided by National Natural Science Foundation of China grants 81570939 and Beijing Municipal Administration of Hospitals’ Youth Programme (QML20161503) to Jian Zhou, National Natural Science Foundation of China grants 81470759 to Hao Wang.</w:t>
      </w:r>
    </w:p>
    <w:p w:rsidR="007D1A36" w:rsidRDefault="007D1A36" w:rsidP="007D1A36">
      <w:pPr>
        <w:rPr>
          <w:rFonts w:hint="eastAsia"/>
        </w:rPr>
      </w:pPr>
      <w:r>
        <w:t>Biography</w:t>
      </w:r>
    </w:p>
    <w:p w:rsidR="007D1A36" w:rsidRDefault="007D1A36" w:rsidP="007D1A36">
      <w:r>
        <w:t>Dr. Jian Zhou is a board certified dentist. Dr. Zhou completed dental surgery training and PhD in oral Maxillofacial surgery from Capital Medical University, School of Stomatology, Beijing, China. Dr. Zhou performed postdoctoral studies in the field of stem cell biology and regenerative medicine at Columbia University College of Dental Medicine. He is currently an associate professor and is practicing as a general dentist at the department of general dentistry, Beijing Stomatological Hospital, Capital Medical University.  He has published more than 25 papers in reputed journals and won several competition awards at international conferences and forums.</w:t>
      </w:r>
    </w:p>
    <w:p w:rsidR="007D1A36" w:rsidRDefault="007D1A36" w:rsidP="007D1A36">
      <w:r>
        <w:t xml:space="preserve">Presenting author details </w:t>
      </w:r>
    </w:p>
    <w:p w:rsidR="007D1A36" w:rsidRDefault="007D1A36" w:rsidP="007D1A36">
      <w:pPr>
        <w:rPr>
          <w:rFonts w:hint="eastAsia"/>
        </w:rPr>
      </w:pPr>
      <w:r>
        <w:t xml:space="preserve">Full name: </w:t>
      </w:r>
      <w:r>
        <w:t>Ji</w:t>
      </w:r>
      <w:r>
        <w:rPr>
          <w:rFonts w:hint="eastAsia"/>
        </w:rPr>
        <w:t>an</w:t>
      </w:r>
      <w:r>
        <w:t xml:space="preserve"> Zhou</w:t>
      </w:r>
    </w:p>
    <w:p w:rsidR="007D1A36" w:rsidRDefault="007D1A36" w:rsidP="007D1A36">
      <w:r>
        <w:t>Contact number:</w:t>
      </w:r>
      <w:r>
        <w:t>13401180051</w:t>
      </w:r>
    </w:p>
    <w:p w:rsidR="007D1A36" w:rsidRDefault="007D1A36" w:rsidP="007D1A36">
      <w:r>
        <w:t>Twitter account:</w:t>
      </w:r>
    </w:p>
    <w:p w:rsidR="007D1A36" w:rsidRDefault="007D1A36" w:rsidP="007D1A36">
      <w:r>
        <w:t>Linked In account:</w:t>
      </w:r>
    </w:p>
    <w:p w:rsidR="007D1A36" w:rsidRDefault="007D1A36" w:rsidP="007D1A36">
      <w:r>
        <w:t>Session name/ number:</w:t>
      </w:r>
    </w:p>
    <w:p w:rsidR="007D1A36" w:rsidRDefault="007D1A36" w:rsidP="007D1A36">
      <w:pPr>
        <w:rPr>
          <w:rFonts w:hint="eastAsia"/>
        </w:rPr>
      </w:pPr>
      <w:r>
        <w:t xml:space="preserve">Category: </w:t>
      </w:r>
      <w:bookmarkStart w:id="0" w:name="_GoBack"/>
      <w:bookmarkEnd w:id="0"/>
      <w:r>
        <w:t>Oral presentation</w:t>
      </w:r>
    </w:p>
    <w:sectPr w:rsidR="007D1A3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73A3" w:rsidRDefault="004E73A3" w:rsidP="007D1A36">
      <w:r>
        <w:separator/>
      </w:r>
    </w:p>
  </w:endnote>
  <w:endnote w:type="continuationSeparator" w:id="0">
    <w:p w:rsidR="004E73A3" w:rsidRDefault="004E73A3" w:rsidP="007D1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73A3" w:rsidRDefault="004E73A3" w:rsidP="007D1A36">
      <w:r>
        <w:separator/>
      </w:r>
    </w:p>
  </w:footnote>
  <w:footnote w:type="continuationSeparator" w:id="0">
    <w:p w:rsidR="004E73A3" w:rsidRDefault="004E73A3" w:rsidP="007D1A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E05"/>
    <w:rsid w:val="001837E4"/>
    <w:rsid w:val="003D690B"/>
    <w:rsid w:val="00457EAA"/>
    <w:rsid w:val="004E73A3"/>
    <w:rsid w:val="006602D0"/>
    <w:rsid w:val="007D1A36"/>
    <w:rsid w:val="00987E05"/>
    <w:rsid w:val="00F35292"/>
    <w:rsid w:val="00F412C1"/>
    <w:rsid w:val="00FC25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BBB230"/>
  <w15:chartTrackingRefBased/>
  <w15:docId w15:val="{DF1F7C63-D5D9-4660-95E5-4CF9B5662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D1A3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D1A36"/>
    <w:rPr>
      <w:sz w:val="18"/>
      <w:szCs w:val="18"/>
    </w:rPr>
  </w:style>
  <w:style w:type="paragraph" w:styleId="a5">
    <w:name w:val="footer"/>
    <w:basedOn w:val="a"/>
    <w:link w:val="a6"/>
    <w:uiPriority w:val="99"/>
    <w:unhideWhenUsed/>
    <w:rsid w:val="007D1A36"/>
    <w:pPr>
      <w:tabs>
        <w:tab w:val="center" w:pos="4153"/>
        <w:tab w:val="right" w:pos="8306"/>
      </w:tabs>
      <w:snapToGrid w:val="0"/>
      <w:jc w:val="left"/>
    </w:pPr>
    <w:rPr>
      <w:sz w:val="18"/>
      <w:szCs w:val="18"/>
    </w:rPr>
  </w:style>
  <w:style w:type="character" w:customStyle="1" w:styleId="a6">
    <w:name w:val="页脚 字符"/>
    <w:basedOn w:val="a0"/>
    <w:link w:val="a5"/>
    <w:uiPriority w:val="99"/>
    <w:rsid w:val="007D1A3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1185462">
      <w:bodyDiv w:val="1"/>
      <w:marLeft w:val="0"/>
      <w:marRight w:val="0"/>
      <w:marTop w:val="0"/>
      <w:marBottom w:val="0"/>
      <w:divBdr>
        <w:top w:val="none" w:sz="0" w:space="0" w:color="auto"/>
        <w:left w:val="none" w:sz="0" w:space="0" w:color="auto"/>
        <w:bottom w:val="none" w:sz="0" w:space="0" w:color="auto"/>
        <w:right w:val="none" w:sz="0" w:space="0" w:color="auto"/>
      </w:divBdr>
      <w:divsChild>
        <w:div w:id="1817722588">
          <w:marLeft w:val="0"/>
          <w:marRight w:val="0"/>
          <w:marTop w:val="0"/>
          <w:marBottom w:val="0"/>
          <w:divBdr>
            <w:top w:val="none" w:sz="0" w:space="0" w:color="auto"/>
            <w:left w:val="none" w:sz="0" w:space="0" w:color="auto"/>
            <w:bottom w:val="none" w:sz="0" w:space="0" w:color="auto"/>
            <w:right w:val="none" w:sz="0" w:space="0" w:color="auto"/>
          </w:divBdr>
        </w:div>
        <w:div w:id="175854465">
          <w:marLeft w:val="0"/>
          <w:marRight w:val="0"/>
          <w:marTop w:val="0"/>
          <w:marBottom w:val="0"/>
          <w:divBdr>
            <w:top w:val="none" w:sz="0" w:space="0" w:color="auto"/>
            <w:left w:val="none" w:sz="0" w:space="0" w:color="auto"/>
            <w:bottom w:val="none" w:sz="0" w:space="0" w:color="auto"/>
            <w:right w:val="none" w:sz="0" w:space="0" w:color="auto"/>
          </w:divBdr>
        </w:div>
        <w:div w:id="555774922">
          <w:marLeft w:val="0"/>
          <w:marRight w:val="0"/>
          <w:marTop w:val="0"/>
          <w:marBottom w:val="0"/>
          <w:divBdr>
            <w:top w:val="none" w:sz="0" w:space="0" w:color="auto"/>
            <w:left w:val="none" w:sz="0" w:space="0" w:color="auto"/>
            <w:bottom w:val="none" w:sz="0" w:space="0" w:color="auto"/>
            <w:right w:val="none" w:sz="0" w:space="0" w:color="auto"/>
          </w:divBdr>
        </w:div>
        <w:div w:id="1231842102">
          <w:marLeft w:val="0"/>
          <w:marRight w:val="0"/>
          <w:marTop w:val="0"/>
          <w:marBottom w:val="0"/>
          <w:divBdr>
            <w:top w:val="none" w:sz="0" w:space="0" w:color="auto"/>
            <w:left w:val="none" w:sz="0" w:space="0" w:color="auto"/>
            <w:bottom w:val="none" w:sz="0" w:space="0" w:color="auto"/>
            <w:right w:val="none" w:sz="0" w:space="0" w:color="auto"/>
          </w:divBdr>
        </w:div>
        <w:div w:id="278070902">
          <w:marLeft w:val="0"/>
          <w:marRight w:val="0"/>
          <w:marTop w:val="0"/>
          <w:marBottom w:val="0"/>
          <w:divBdr>
            <w:top w:val="none" w:sz="0" w:space="0" w:color="auto"/>
            <w:left w:val="none" w:sz="0" w:space="0" w:color="auto"/>
            <w:bottom w:val="none" w:sz="0" w:space="0" w:color="auto"/>
            <w:right w:val="none" w:sz="0" w:space="0" w:color="auto"/>
          </w:divBdr>
        </w:div>
        <w:div w:id="1765374408">
          <w:marLeft w:val="0"/>
          <w:marRight w:val="0"/>
          <w:marTop w:val="0"/>
          <w:marBottom w:val="0"/>
          <w:divBdr>
            <w:top w:val="none" w:sz="0" w:space="0" w:color="auto"/>
            <w:left w:val="none" w:sz="0" w:space="0" w:color="auto"/>
            <w:bottom w:val="none" w:sz="0" w:space="0" w:color="auto"/>
            <w:right w:val="none" w:sz="0" w:space="0" w:color="auto"/>
          </w:divBdr>
        </w:div>
        <w:div w:id="671568631">
          <w:marLeft w:val="0"/>
          <w:marRight w:val="0"/>
          <w:marTop w:val="0"/>
          <w:marBottom w:val="0"/>
          <w:divBdr>
            <w:top w:val="none" w:sz="0" w:space="0" w:color="auto"/>
            <w:left w:val="none" w:sz="0" w:space="0" w:color="auto"/>
            <w:bottom w:val="none" w:sz="0" w:space="0" w:color="auto"/>
            <w:right w:val="none" w:sz="0" w:space="0" w:color="auto"/>
          </w:divBdr>
        </w:div>
        <w:div w:id="1671711314">
          <w:marLeft w:val="0"/>
          <w:marRight w:val="0"/>
          <w:marTop w:val="0"/>
          <w:marBottom w:val="0"/>
          <w:divBdr>
            <w:top w:val="none" w:sz="0" w:space="0" w:color="auto"/>
            <w:left w:val="none" w:sz="0" w:space="0" w:color="auto"/>
            <w:bottom w:val="none" w:sz="0" w:space="0" w:color="auto"/>
            <w:right w:val="none" w:sz="0" w:space="0" w:color="auto"/>
          </w:divBdr>
        </w:div>
        <w:div w:id="1186481631">
          <w:marLeft w:val="0"/>
          <w:marRight w:val="0"/>
          <w:marTop w:val="0"/>
          <w:marBottom w:val="0"/>
          <w:divBdr>
            <w:top w:val="none" w:sz="0" w:space="0" w:color="auto"/>
            <w:left w:val="none" w:sz="0" w:space="0" w:color="auto"/>
            <w:bottom w:val="none" w:sz="0" w:space="0" w:color="auto"/>
            <w:right w:val="none" w:sz="0" w:space="0" w:color="auto"/>
          </w:divBdr>
        </w:div>
        <w:div w:id="132867829">
          <w:marLeft w:val="0"/>
          <w:marRight w:val="0"/>
          <w:marTop w:val="0"/>
          <w:marBottom w:val="0"/>
          <w:divBdr>
            <w:top w:val="none" w:sz="0" w:space="0" w:color="auto"/>
            <w:left w:val="none" w:sz="0" w:space="0" w:color="auto"/>
            <w:bottom w:val="none" w:sz="0" w:space="0" w:color="auto"/>
            <w:right w:val="none" w:sz="0" w:space="0" w:color="auto"/>
          </w:divBdr>
        </w:div>
        <w:div w:id="1606772130">
          <w:marLeft w:val="0"/>
          <w:marRight w:val="0"/>
          <w:marTop w:val="0"/>
          <w:marBottom w:val="0"/>
          <w:divBdr>
            <w:top w:val="none" w:sz="0" w:space="0" w:color="auto"/>
            <w:left w:val="none" w:sz="0" w:space="0" w:color="auto"/>
            <w:bottom w:val="none" w:sz="0" w:space="0" w:color="auto"/>
            <w:right w:val="none" w:sz="0" w:space="0" w:color="auto"/>
          </w:divBdr>
        </w:div>
        <w:div w:id="648822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819</Words>
  <Characters>4669</Characters>
  <Application>Microsoft Office Word</Application>
  <DocSecurity>0</DocSecurity>
  <Lines>38</Lines>
  <Paragraphs>10</Paragraphs>
  <ScaleCrop>false</ScaleCrop>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 zhou</dc:creator>
  <cp:keywords/>
  <dc:description/>
  <cp:lastModifiedBy>jian zhou</cp:lastModifiedBy>
  <cp:revision>5</cp:revision>
  <dcterms:created xsi:type="dcterms:W3CDTF">2017-04-06T02:17:00Z</dcterms:created>
  <dcterms:modified xsi:type="dcterms:W3CDTF">2018-01-18T08:39:00Z</dcterms:modified>
</cp:coreProperties>
</file>