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0481EC" w14:textId="77777777" w:rsidR="00BC64D1" w:rsidRPr="006446A4" w:rsidRDefault="00BC64D1" w:rsidP="00BC64D1">
      <w:pPr>
        <w:jc w:val="center"/>
        <w:rPr>
          <w:rFonts w:ascii="Times New Roman" w:hAnsi="Times New Roman"/>
          <w:b/>
        </w:rPr>
      </w:pPr>
      <w:r w:rsidRPr="00BC64D1">
        <w:rPr>
          <w:rFonts w:ascii="Minion Pro" w:hAnsi="Minion Pro"/>
          <w:b/>
          <w:sz w:val="36"/>
          <w:szCs w:val="36"/>
        </w:rPr>
        <w:t>p21 is a master regulator of NF-kB-dependent inflammation in immune disease and allergic asthma</w:t>
      </w:r>
    </w:p>
    <w:p w14:paraId="54D6EEB8" w14:textId="1CB46F95" w:rsidR="002A27E6" w:rsidRDefault="002A27E6" w:rsidP="002A27E6">
      <w:pPr>
        <w:pStyle w:val="Textoindependiente"/>
        <w:spacing w:before="73"/>
        <w:ind w:left="100" w:right="5987"/>
        <w:rPr>
          <w:rFonts w:ascii="Arial"/>
        </w:rPr>
      </w:pPr>
      <w:proofErr w:type="spellStart"/>
      <w:r>
        <w:rPr>
          <w:rFonts w:ascii="Arial"/>
        </w:rPr>
        <w:t>Dimitrios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Balomenos</w:t>
      </w:r>
      <w:proofErr w:type="spellEnd"/>
      <w:r>
        <w:rPr>
          <w:rFonts w:ascii="Arial"/>
        </w:rPr>
        <w:t xml:space="preserve"> PhD, Department of Immunology and Oncology, National Center for Biotechnology/CSIC, Madrid, Spain.</w:t>
      </w:r>
    </w:p>
    <w:p w14:paraId="595DCB2B" w14:textId="77777777" w:rsidR="00AE3E37" w:rsidRDefault="00AE3E37">
      <w:pPr>
        <w:pStyle w:val="Textoindependiente"/>
        <w:rPr>
          <w:rFonts w:ascii="Arial"/>
          <w:sz w:val="20"/>
        </w:rPr>
      </w:pPr>
    </w:p>
    <w:p w14:paraId="7E482535" w14:textId="77777777" w:rsidR="00AE3E37" w:rsidRDefault="00AE3E37">
      <w:pPr>
        <w:pStyle w:val="Textoindependiente"/>
        <w:spacing w:before="3"/>
        <w:rPr>
          <w:rFonts w:ascii="Arial"/>
          <w:sz w:val="21"/>
        </w:rPr>
      </w:pPr>
    </w:p>
    <w:p w14:paraId="30C8545F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10598C91" w14:textId="77777777"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56725829" w14:textId="77777777" w:rsidR="00F8259F" w:rsidRPr="00F8259F" w:rsidRDefault="00F8259F" w:rsidP="00211084">
      <w:pPr>
        <w:spacing w:line="276" w:lineRule="auto"/>
        <w:jc w:val="both"/>
        <w:rPr>
          <w:rFonts w:ascii="Minion Pro" w:eastAsia="Cambria" w:hAnsi="Minion Pro" w:cs="Times New Roman"/>
          <w:sz w:val="18"/>
          <w:szCs w:val="18"/>
        </w:rPr>
      </w:pPr>
      <w:r w:rsidRPr="00F8259F">
        <w:rPr>
          <w:rFonts w:ascii="Minion Pro" w:hAnsi="Minion Pro"/>
          <w:sz w:val="18"/>
          <w:szCs w:val="18"/>
        </w:rPr>
        <w:t>D</w:t>
      </w:r>
      <w:r w:rsidRPr="00F8259F">
        <w:rPr>
          <w:rFonts w:ascii="Minion Pro" w:hAnsi="Minion Pro" w:cs="Times New Roman"/>
          <w:sz w:val="18"/>
          <w:szCs w:val="18"/>
        </w:rPr>
        <w:t>econtrolled inflammatory response</w:t>
      </w:r>
      <w:r w:rsidRPr="00F8259F">
        <w:rPr>
          <w:rFonts w:ascii="Minion Pro" w:hAnsi="Minion Pro"/>
          <w:sz w:val="18"/>
          <w:szCs w:val="18"/>
        </w:rPr>
        <w:t>s</w:t>
      </w:r>
      <w:r w:rsidRPr="00F8259F">
        <w:rPr>
          <w:rFonts w:ascii="Minion Pro" w:hAnsi="Minion Pro" w:cs="Times New Roman"/>
          <w:sz w:val="18"/>
          <w:szCs w:val="18"/>
        </w:rPr>
        <w:t xml:space="preserve"> induce live-threatening disease or aggravate autoimmunity</w:t>
      </w:r>
      <w:r w:rsidRPr="00F8259F">
        <w:rPr>
          <w:rFonts w:ascii="Minion Pro" w:hAnsi="Minion Pro"/>
          <w:sz w:val="18"/>
          <w:szCs w:val="18"/>
        </w:rPr>
        <w:t xml:space="preserve"> or allergy</w:t>
      </w:r>
      <w:r w:rsidRPr="00F8259F">
        <w:rPr>
          <w:rFonts w:ascii="Minion Pro" w:hAnsi="Minion Pro" w:cs="Times New Roman"/>
          <w:sz w:val="18"/>
          <w:szCs w:val="18"/>
        </w:rPr>
        <w:t>.</w:t>
      </w:r>
      <w:r w:rsidRPr="00F8259F">
        <w:rPr>
          <w:rFonts w:ascii="Minion Pro" w:hAnsi="Minion Pro"/>
          <w:sz w:val="18"/>
          <w:szCs w:val="18"/>
        </w:rPr>
        <w:t xml:space="preserve"> </w:t>
      </w:r>
      <w:r w:rsidRPr="00F8259F">
        <w:rPr>
          <w:rFonts w:ascii="Minion Pro" w:eastAsia="Times New Roman" w:hAnsi="Minion Pro" w:cs="Times New Roman"/>
          <w:color w:val="3E3D40"/>
          <w:sz w:val="18"/>
          <w:szCs w:val="18"/>
          <w:shd w:val="clear" w:color="auto" w:fill="FFFFFF"/>
          <w:lang w:eastAsia="es-ES_tradnl"/>
        </w:rPr>
        <w:t>p21 was first identified as an inhibitor of and cyclin-dependent kinase 2 inhibitor (CDK2)</w:t>
      </w:r>
      <w:r w:rsidRPr="00F8259F">
        <w:rPr>
          <w:rFonts w:ascii="Minion Pro" w:eastAsia="Times New Roman" w:hAnsi="Minion Pro"/>
          <w:color w:val="3E3D40"/>
          <w:sz w:val="18"/>
          <w:szCs w:val="18"/>
          <w:shd w:val="clear" w:color="auto" w:fill="FFFFFF"/>
          <w:lang w:eastAsia="es-ES_tradnl"/>
        </w:rPr>
        <w:t xml:space="preserve">. </w:t>
      </w:r>
      <w:r w:rsidRPr="00F8259F">
        <w:rPr>
          <w:rFonts w:ascii="Minion Pro" w:eastAsia="Times New Roman" w:hAnsi="Minion Pro" w:cs="Times New Roman"/>
          <w:color w:val="3E3D40"/>
          <w:sz w:val="18"/>
          <w:szCs w:val="18"/>
          <w:shd w:val="clear" w:color="auto" w:fill="FFFFFF"/>
          <w:lang w:eastAsia="es-ES_tradnl"/>
        </w:rPr>
        <w:t xml:space="preserve">  However</w:t>
      </w:r>
      <w:r w:rsidRPr="00F8259F">
        <w:rPr>
          <w:rFonts w:ascii="Minion Pro" w:eastAsia="Times New Roman" w:hAnsi="Minion Pro"/>
          <w:color w:val="3E3D40"/>
          <w:sz w:val="18"/>
          <w:szCs w:val="18"/>
          <w:shd w:val="clear" w:color="auto" w:fill="FFFFFF"/>
          <w:lang w:eastAsia="es-ES_tradnl"/>
        </w:rPr>
        <w:t>,</w:t>
      </w:r>
      <w:r w:rsidRPr="00F8259F">
        <w:rPr>
          <w:rFonts w:ascii="Minion Pro" w:eastAsia="Times New Roman" w:hAnsi="Minion Pro" w:cs="Times New Roman"/>
          <w:color w:val="3E3D40"/>
          <w:sz w:val="18"/>
          <w:szCs w:val="18"/>
          <w:shd w:val="clear" w:color="auto" w:fill="FFFFFF"/>
          <w:lang w:eastAsia="es-ES_tradnl"/>
        </w:rPr>
        <w:t xml:space="preserve"> other functions </w:t>
      </w:r>
      <w:r w:rsidRPr="00F8259F">
        <w:rPr>
          <w:rFonts w:ascii="Minion Pro" w:eastAsia="Times New Roman" w:hAnsi="Minion Pro"/>
          <w:color w:val="3E3D40"/>
          <w:sz w:val="18"/>
          <w:szCs w:val="18"/>
          <w:shd w:val="clear" w:color="auto" w:fill="FFFFFF"/>
          <w:lang w:eastAsia="es-ES_tradnl"/>
        </w:rPr>
        <w:t xml:space="preserve">are now </w:t>
      </w:r>
      <w:r w:rsidRPr="00F8259F">
        <w:rPr>
          <w:rFonts w:ascii="Minion Pro" w:eastAsia="Times New Roman" w:hAnsi="Minion Pro" w:cs="Times New Roman"/>
          <w:color w:val="3E3D40"/>
          <w:sz w:val="18"/>
          <w:szCs w:val="18"/>
          <w:shd w:val="clear" w:color="auto" w:fill="FFFFFF"/>
          <w:lang w:eastAsia="es-ES_tradnl"/>
        </w:rPr>
        <w:t>attributed to p2</w:t>
      </w:r>
      <w:r w:rsidRPr="00F8259F">
        <w:rPr>
          <w:rFonts w:ascii="Minion Pro" w:eastAsia="Times New Roman" w:hAnsi="Minion Pro"/>
          <w:color w:val="3E3D40"/>
          <w:sz w:val="18"/>
          <w:szCs w:val="18"/>
          <w:shd w:val="clear" w:color="auto" w:fill="FFFFFF"/>
          <w:lang w:eastAsia="es-ES_tradnl"/>
        </w:rPr>
        <w:t>1, as it orchestrates</w:t>
      </w:r>
      <w:r w:rsidRPr="00F8259F">
        <w:rPr>
          <w:rFonts w:ascii="Minion Pro" w:eastAsia="Times New Roman" w:hAnsi="Minion Pro" w:cs="Times New Roman"/>
          <w:color w:val="3E3D40"/>
          <w:sz w:val="18"/>
          <w:szCs w:val="18"/>
          <w:shd w:val="clear" w:color="auto" w:fill="FFFFFF"/>
          <w:lang w:eastAsia="es-ES_tradnl"/>
        </w:rPr>
        <w:t xml:space="preserve"> unique</w:t>
      </w:r>
      <w:r w:rsidRPr="00F8259F">
        <w:rPr>
          <w:rFonts w:ascii="Minion Pro" w:eastAsia="Times New Roman" w:hAnsi="Minion Pro"/>
          <w:color w:val="3E3D40"/>
          <w:sz w:val="18"/>
          <w:szCs w:val="18"/>
          <w:shd w:val="clear" w:color="auto" w:fill="FFFFFF"/>
          <w:lang w:eastAsia="es-ES_tradnl"/>
        </w:rPr>
        <w:t xml:space="preserve"> anti-infl</w:t>
      </w:r>
      <w:r w:rsidRPr="00F8259F">
        <w:rPr>
          <w:rFonts w:ascii="Minion Pro" w:eastAsia="Times New Roman" w:hAnsi="Minion Pro" w:cs="Times New Roman"/>
          <w:color w:val="3E3D40"/>
          <w:sz w:val="18"/>
          <w:szCs w:val="18"/>
          <w:shd w:val="clear" w:color="auto" w:fill="FFFFFF"/>
          <w:lang w:eastAsia="es-ES_tradnl"/>
        </w:rPr>
        <w:t>ammatory functions</w:t>
      </w:r>
      <w:r w:rsidRPr="00F8259F">
        <w:rPr>
          <w:rFonts w:ascii="Minion Pro" w:eastAsia="Times New Roman" w:hAnsi="Minion Pro"/>
          <w:color w:val="3E3D40"/>
          <w:sz w:val="18"/>
          <w:szCs w:val="18"/>
          <w:shd w:val="clear" w:color="auto" w:fill="FFFFFF"/>
          <w:lang w:eastAsia="es-ES_tradnl"/>
        </w:rPr>
        <w:t>.</w:t>
      </w:r>
      <w:r w:rsidRPr="00F8259F">
        <w:rPr>
          <w:rFonts w:ascii="Minion Pro" w:eastAsia="Times New Roman" w:hAnsi="Minion Pro" w:cs="Times New Roman"/>
          <w:color w:val="3E3D40"/>
          <w:sz w:val="18"/>
          <w:szCs w:val="18"/>
          <w:shd w:val="clear" w:color="auto" w:fill="FFFFFF"/>
          <w:lang w:eastAsia="es-ES_tradnl"/>
        </w:rPr>
        <w:t xml:space="preserve"> </w:t>
      </w:r>
    </w:p>
    <w:p w14:paraId="17393332" w14:textId="3E71BFD5" w:rsidR="004F5892" w:rsidRPr="003479D5" w:rsidRDefault="00F8259F" w:rsidP="003479D5">
      <w:pPr>
        <w:pStyle w:val="Ttulo3"/>
        <w:spacing w:before="74" w:line="276" w:lineRule="auto"/>
        <w:ind w:left="0"/>
        <w:jc w:val="both"/>
      </w:pPr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>p21 controls NF-</w:t>
      </w:r>
      <w:proofErr w:type="spellStart"/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>κB</w:t>
      </w:r>
      <w:proofErr w:type="spellEnd"/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activation</w:t>
      </w:r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>, macrophage activation and</w:t>
      </w:r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LPS-induced septic shock. </w:t>
      </w:r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>I</w:t>
      </w:r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>n the absence of p21, LPS treatment leads to increased NF-</w:t>
      </w:r>
      <w:proofErr w:type="spellStart"/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>κB</w:t>
      </w:r>
      <w:proofErr w:type="spellEnd"/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activation, macrophage overstimulation and </w:t>
      </w:r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>excessive</w:t>
      </w:r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inflammatory production.</w:t>
      </w:r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Upon extreme TLR4 activation, m</w:t>
      </w:r>
      <w:r w:rsidRPr="00F8259F">
        <w:rPr>
          <w:rFonts w:ascii="Minion Pro" w:eastAsia="Times New Roman" w:hAnsi="Minion Pro" w:cs="Times New Roman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acrophage </w:t>
      </w:r>
      <w:proofErr w:type="spellStart"/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>hyperactivation</w:t>
      </w:r>
      <w:proofErr w:type="spellEnd"/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is also controlled by reprograming of hyperinflammatory microphages (M1) to a </w:t>
      </w:r>
      <w:proofErr w:type="spellStart"/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>hyporesponsive</w:t>
      </w:r>
      <w:proofErr w:type="spellEnd"/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status (M2-like) after a </w:t>
      </w:r>
      <w:r w:rsidRPr="00F8259F">
        <w:rPr>
          <w:rFonts w:ascii="Minion Pro" w:hAnsi="Minion Pro"/>
          <w:b w:val="0"/>
          <w:sz w:val="18"/>
          <w:szCs w:val="18"/>
        </w:rPr>
        <w:t>secondary LPS challenge, which is known as endotoxin tolerance.</w:t>
      </w:r>
      <w:r w:rsidRPr="00F8259F">
        <w:rPr>
          <w:rFonts w:ascii="Minion Pro" w:eastAsia="Times New Roman" w:hAnsi="Minion Pro"/>
          <w:b w:val="0"/>
          <w:color w:val="3E3D40"/>
          <w:sz w:val="18"/>
          <w:szCs w:val="18"/>
          <w:shd w:val="clear" w:color="auto" w:fill="FFFFFF"/>
          <w:lang w:eastAsia="es-ES_tradnl"/>
        </w:rPr>
        <w:t xml:space="preserve"> </w:t>
      </w:r>
      <w:r w:rsidRPr="00F8259F">
        <w:rPr>
          <w:rFonts w:ascii="Minion Pro" w:hAnsi="Minion Pro"/>
          <w:b w:val="0"/>
          <w:sz w:val="18"/>
          <w:szCs w:val="18"/>
        </w:rPr>
        <w:t>We recently reported that p21 promotes M1-to-M2 polarization, as p21</w:t>
      </w:r>
      <w:r w:rsidRPr="00F8259F">
        <w:rPr>
          <w:rFonts w:ascii="Minion Pro" w:hAnsi="Minion Pro"/>
          <w:b w:val="0"/>
          <w:sz w:val="18"/>
          <w:szCs w:val="18"/>
          <w:vertAlign w:val="superscript"/>
        </w:rPr>
        <w:t>-/-</w:t>
      </w:r>
      <w:r w:rsidRPr="00F8259F">
        <w:rPr>
          <w:rFonts w:ascii="Minion Pro" w:hAnsi="Minion Pro"/>
          <w:b w:val="0"/>
          <w:sz w:val="18"/>
          <w:szCs w:val="18"/>
        </w:rPr>
        <w:t xml:space="preserve"> macrophages showed impaired ability to reprogram. p21 shifts the balance between active p65/p50 and inhibitory p50/p50 NF</w:t>
      </w:r>
      <w:r w:rsidRPr="00F8259F">
        <w:rPr>
          <w:rFonts w:ascii="Minion Pro" w:hAnsi="Minion Pro"/>
          <w:b w:val="0"/>
          <w:sz w:val="18"/>
          <w:szCs w:val="18"/>
        </w:rPr>
        <w:noBreakHyphen/>
      </w:r>
      <w:r w:rsidRPr="00F8259F">
        <w:rPr>
          <w:rFonts w:ascii="Minion Pro" w:hAnsi="Minion Pro"/>
          <w:b w:val="0"/>
          <w:sz w:val="18"/>
          <w:szCs w:val="18"/>
        </w:rPr>
        <w:t>B and promotes macrophage reprogramming by favoring DNA-binding affinity of p50/p50 homodimers, which limit IFN-</w:t>
      </w:r>
      <w:r w:rsidRPr="00F8259F">
        <w:rPr>
          <w:rFonts w:ascii="Minion Pro" w:hAnsi="Minion Pro"/>
          <w:b w:val="0"/>
          <w:sz w:val="18"/>
          <w:szCs w:val="18"/>
        </w:rPr>
        <w:t xml:space="preserve"> production. The first association of p21 with the immune response was its identification as an autoimmunity suppressor, and it was assumed to control T cell proliferation. However, our latest findings show that lack of p21 drives lupus-like disease by augmenting the activation status of T cells The major characteristic of this hype activation is the elevated production of IFN-gamma by T cells, a major inducer of lupus autoimmunity.  Our findings point to p21 as an early regulator of T cell activation that controls mitochondrial ROS production. Finally, in agreement with effect of p21 on the excessive immune responses, </w:t>
      </w:r>
      <w:r w:rsidRPr="00F8259F">
        <w:rPr>
          <w:rFonts w:ascii="Minion Pro" w:hAnsi="Minion Pro"/>
          <w:b w:val="0"/>
          <w:color w:val="000000"/>
          <w:sz w:val="18"/>
          <w:szCs w:val="18"/>
        </w:rPr>
        <w:t xml:space="preserve">p21-deficient mice developed extreme allergic asthma when subjected to the allergy-inducing OVA model, exhibiting </w:t>
      </w:r>
      <w:r w:rsidRPr="00F8259F">
        <w:rPr>
          <w:rFonts w:ascii="Minion Pro" w:hAnsi="Minion Pro"/>
          <w:b w:val="0"/>
          <w:color w:val="211D1E"/>
          <w:sz w:val="18"/>
          <w:szCs w:val="18"/>
        </w:rPr>
        <w:t xml:space="preserve">severe pneumonitis and striking perivascular and interstitial inflammation compare to controls.  Overall p21 emerges as a global guardian of </w:t>
      </w:r>
      <w:proofErr w:type="spellStart"/>
      <w:r w:rsidRPr="00F8259F">
        <w:rPr>
          <w:rFonts w:ascii="Minion Pro" w:hAnsi="Minion Pro"/>
          <w:b w:val="0"/>
          <w:color w:val="211D1E"/>
          <w:sz w:val="18"/>
          <w:szCs w:val="18"/>
        </w:rPr>
        <w:t>hyperresponsivess</w:t>
      </w:r>
      <w:proofErr w:type="spellEnd"/>
      <w:r w:rsidRPr="00F8259F">
        <w:rPr>
          <w:rFonts w:ascii="Minion Pro" w:hAnsi="Minion Pro"/>
          <w:b w:val="0"/>
          <w:color w:val="211D1E"/>
          <w:sz w:val="18"/>
          <w:szCs w:val="18"/>
        </w:rPr>
        <w:t xml:space="preserve"> in inflammatory, autoimmune and allergic pathologies at both the macrophage and T cell levels. </w:t>
      </w:r>
      <w:r w:rsidR="00A9710C" w:rsidRPr="00F8259F">
        <w:rPr>
          <w:rFonts w:ascii="Minion Pro" w:hAnsi="Minion Pro"/>
          <w:b w:val="0"/>
          <w:sz w:val="18"/>
          <w:szCs w:val="18"/>
        </w:rPr>
        <w:br w:type="column"/>
      </w:r>
      <w:r w:rsidR="00A9710C">
        <w:rPr>
          <w:color w:val="BF5A14"/>
        </w:rPr>
        <w:lastRenderedPageBreak/>
        <w:t>Image</w:t>
      </w:r>
      <w:r w:rsidR="00B00DDA" w:rsidRPr="00B00DDA">
        <w:rPr>
          <w:rFonts w:ascii="Times New Roman" w:eastAsiaTheme="minorHAnsi" w:hAnsi="Times New Roman" w:cs="Times New Roman"/>
          <w:color w:val="000000"/>
          <w:lang w:val="es-ES_tradnl"/>
        </w:rPr>
        <w:drawing>
          <wp:inline distT="0" distB="0" distL="0" distR="0" wp14:anchorId="0AAF7794" wp14:editId="542A4834">
            <wp:extent cx="3165475" cy="1579245"/>
            <wp:effectExtent l="0" t="0" r="9525" b="0"/>
            <wp:docPr id="2" name="Picture 5" descr="Figure 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5" descr="Figure 14.png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579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DBB0B" w14:textId="6CAAD6A1" w:rsidR="004F5892" w:rsidRDefault="004F5892" w:rsidP="004F5892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0"/>
          <w:szCs w:val="20"/>
          <w:lang w:val="es-ES_tradnl"/>
        </w:rPr>
      </w:pPr>
    </w:p>
    <w:p w14:paraId="2CD926F2" w14:textId="2E23A0A5" w:rsidR="003479D5" w:rsidRDefault="00907BFD" w:rsidP="003479D5">
      <w:pPr>
        <w:autoSpaceDE w:val="0"/>
        <w:autoSpaceDN w:val="0"/>
        <w:adjustRightInd w:val="0"/>
        <w:rPr>
          <w:rStyle w:val="A10"/>
        </w:rPr>
      </w:pPr>
      <w:r>
        <w:rPr>
          <w:rStyle w:val="A10"/>
          <w:b/>
          <w:bCs/>
        </w:rPr>
        <w:t xml:space="preserve">p21 deficiency aggravates airway inflammation </w:t>
      </w:r>
      <w:r>
        <w:rPr>
          <w:rStyle w:val="A10"/>
          <w:b/>
          <w:bCs/>
          <w:i/>
          <w:iCs/>
        </w:rPr>
        <w:t>in vivo</w:t>
      </w:r>
      <w:r>
        <w:rPr>
          <w:rStyle w:val="A10"/>
          <w:b/>
          <w:bCs/>
        </w:rPr>
        <w:t>. (A</w:t>
      </w:r>
      <w:r>
        <w:rPr>
          <w:rStyle w:val="A10"/>
        </w:rPr>
        <w:t xml:space="preserve">) Lung staining showing impressive </w:t>
      </w:r>
      <w:proofErr w:type="spellStart"/>
      <w:r>
        <w:rPr>
          <w:rStyle w:val="A10"/>
        </w:rPr>
        <w:t>peribronchiolar</w:t>
      </w:r>
      <w:proofErr w:type="spellEnd"/>
      <w:r>
        <w:rPr>
          <w:rStyle w:val="A10"/>
        </w:rPr>
        <w:t xml:space="preserve"> and perivascular inflammation in p21</w:t>
      </w:r>
      <w:r>
        <w:rPr>
          <w:rStyle w:val="A11"/>
        </w:rPr>
        <w:t xml:space="preserve">-/- </w:t>
      </w:r>
      <w:r>
        <w:rPr>
          <w:rStyle w:val="A10"/>
        </w:rPr>
        <w:t>mice compared with WT after OVA aerosol challenge. (</w:t>
      </w:r>
      <w:r>
        <w:rPr>
          <w:rStyle w:val="A10"/>
          <w:b/>
          <w:bCs/>
        </w:rPr>
        <w:t>B</w:t>
      </w:r>
      <w:r>
        <w:rPr>
          <w:rStyle w:val="A10"/>
        </w:rPr>
        <w:t xml:space="preserve">) Serum OVA-specific </w:t>
      </w:r>
      <w:proofErr w:type="spellStart"/>
      <w:r>
        <w:rPr>
          <w:rStyle w:val="A10"/>
        </w:rPr>
        <w:t>IgE</w:t>
      </w:r>
      <w:proofErr w:type="spellEnd"/>
      <w:r>
        <w:rPr>
          <w:rStyle w:val="A10"/>
        </w:rPr>
        <w:t xml:space="preserve"> levels as measured by sandwich ELISA</w:t>
      </w:r>
    </w:p>
    <w:p w14:paraId="2B3ABC48" w14:textId="21B7E037" w:rsidR="005973B9" w:rsidRPr="003479D5" w:rsidRDefault="005973B9" w:rsidP="003479D5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000000"/>
          <w:sz w:val="20"/>
          <w:szCs w:val="20"/>
          <w:lang w:val="es-ES_tradnl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09375E26" w14:textId="7A3ED5C3" w:rsidR="005D3A4E" w:rsidRPr="009A2991" w:rsidRDefault="005D3A4E" w:rsidP="005D3A4E">
      <w:pPr>
        <w:pStyle w:val="NormalWeb"/>
        <w:numPr>
          <w:ilvl w:val="0"/>
          <w:numId w:val="3"/>
        </w:numPr>
        <w:rPr>
          <w:rFonts w:asciiTheme="minorHAnsi" w:hAnsiTheme="minorHAnsi"/>
          <w:sz w:val="18"/>
          <w:szCs w:val="18"/>
        </w:rPr>
      </w:pPr>
      <w:proofErr w:type="spellStart"/>
      <w:r w:rsidRPr="009A2991">
        <w:rPr>
          <w:rFonts w:asciiTheme="minorHAnsi" w:hAnsiTheme="minorHAnsi"/>
          <w:sz w:val="18"/>
          <w:szCs w:val="18"/>
        </w:rPr>
        <w:t>Rackov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G, </w:t>
      </w:r>
      <w:proofErr w:type="spellStart"/>
      <w:r w:rsidRPr="009A2991">
        <w:rPr>
          <w:rFonts w:asciiTheme="minorHAnsi" w:hAnsiTheme="minorHAnsi"/>
          <w:sz w:val="18"/>
          <w:szCs w:val="18"/>
        </w:rPr>
        <w:t>S</w:t>
      </w:r>
      <w:r w:rsidR="002A27E6">
        <w:rPr>
          <w:rFonts w:asciiTheme="minorHAnsi" w:hAnsiTheme="minorHAnsi"/>
          <w:sz w:val="18"/>
          <w:szCs w:val="18"/>
        </w:rPr>
        <w:t>hokri</w:t>
      </w:r>
      <w:proofErr w:type="spellEnd"/>
      <w:r w:rsidR="002A27E6">
        <w:rPr>
          <w:rFonts w:asciiTheme="minorHAnsi" w:hAnsiTheme="minorHAnsi"/>
          <w:sz w:val="18"/>
          <w:szCs w:val="18"/>
        </w:rPr>
        <w:t xml:space="preserve"> R, </w:t>
      </w:r>
      <w:proofErr w:type="spellStart"/>
      <w:r w:rsidR="002A27E6">
        <w:rPr>
          <w:rFonts w:asciiTheme="minorHAnsi" w:hAnsiTheme="minorHAnsi"/>
          <w:sz w:val="18"/>
          <w:szCs w:val="18"/>
        </w:rPr>
        <w:t>Alvarez</w:t>
      </w:r>
      <w:proofErr w:type="spellEnd"/>
      <w:r w:rsidR="002A27E6">
        <w:rPr>
          <w:rFonts w:asciiTheme="minorHAnsi" w:hAnsiTheme="minorHAnsi"/>
          <w:sz w:val="18"/>
          <w:szCs w:val="18"/>
        </w:rPr>
        <w:t xml:space="preserve"> De </w:t>
      </w:r>
      <w:proofErr w:type="spellStart"/>
      <w:r w:rsidR="002A27E6">
        <w:rPr>
          <w:rFonts w:asciiTheme="minorHAnsi" w:hAnsiTheme="minorHAnsi"/>
          <w:sz w:val="18"/>
          <w:szCs w:val="18"/>
        </w:rPr>
        <w:t>Mon</w:t>
      </w:r>
      <w:proofErr w:type="spellEnd"/>
      <w:r w:rsidR="002A27E6">
        <w:rPr>
          <w:rFonts w:asciiTheme="minorHAnsi" w:hAnsiTheme="minorHAnsi"/>
          <w:sz w:val="18"/>
          <w:szCs w:val="18"/>
        </w:rPr>
        <w:t xml:space="preserve"> M and</w:t>
      </w:r>
      <w:r w:rsidR="009A2991"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9A2991" w:rsidRPr="009A2991">
        <w:rPr>
          <w:rFonts w:asciiTheme="minorHAnsi" w:hAnsiTheme="minorHAnsi"/>
          <w:sz w:val="18"/>
          <w:szCs w:val="18"/>
        </w:rPr>
        <w:t>Balomenos</w:t>
      </w:r>
      <w:proofErr w:type="spellEnd"/>
      <w:r w:rsidR="009A2991" w:rsidRPr="009A2991">
        <w:rPr>
          <w:rFonts w:asciiTheme="minorHAnsi" w:hAnsiTheme="minorHAnsi"/>
          <w:sz w:val="18"/>
          <w:szCs w:val="18"/>
        </w:rPr>
        <w:t xml:space="preserve"> D</w:t>
      </w:r>
      <w:r w:rsidRPr="009A2991">
        <w:rPr>
          <w:rFonts w:asciiTheme="minorHAnsi" w:hAnsiTheme="minorHAnsi"/>
          <w:sz w:val="18"/>
          <w:szCs w:val="18"/>
        </w:rPr>
        <w:t xml:space="preserve"> (2017) </w:t>
      </w:r>
      <w:proofErr w:type="spellStart"/>
      <w:r w:rsidRPr="009A2991">
        <w:rPr>
          <w:rFonts w:asciiTheme="minorHAnsi" w:hAnsiTheme="minorHAnsi"/>
          <w:sz w:val="18"/>
          <w:szCs w:val="18"/>
        </w:rPr>
        <w:t>The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role of IFN-</w:t>
      </w:r>
      <w:r w:rsidRPr="009A2991">
        <w:rPr>
          <w:rFonts w:asciiTheme="minorHAnsi" w:hAnsiTheme="minorHAnsi"/>
          <w:sz w:val="18"/>
          <w:szCs w:val="18"/>
        </w:rPr>
        <w:sym w:font="Symbol" w:char="F062"/>
      </w:r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during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the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course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of sepsis </w:t>
      </w:r>
      <w:proofErr w:type="spellStart"/>
      <w:r w:rsidRPr="009A2991">
        <w:rPr>
          <w:rFonts w:asciiTheme="minorHAnsi" w:hAnsiTheme="minorHAnsi"/>
          <w:sz w:val="18"/>
          <w:szCs w:val="18"/>
        </w:rPr>
        <w:t>progression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and </w:t>
      </w:r>
      <w:proofErr w:type="spellStart"/>
      <w:r w:rsidRPr="009A2991">
        <w:rPr>
          <w:rFonts w:asciiTheme="minorHAnsi" w:hAnsiTheme="minorHAnsi"/>
          <w:sz w:val="18"/>
          <w:szCs w:val="18"/>
        </w:rPr>
        <w:t>its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therapeutic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poten</w:t>
      </w:r>
      <w:r w:rsidR="003479D5">
        <w:rPr>
          <w:rFonts w:asciiTheme="minorHAnsi" w:hAnsiTheme="minorHAnsi"/>
          <w:sz w:val="18"/>
          <w:szCs w:val="18"/>
        </w:rPr>
        <w:t>tial</w:t>
      </w:r>
      <w:proofErr w:type="spellEnd"/>
      <w:r w:rsidR="003479D5">
        <w:rPr>
          <w:rFonts w:asciiTheme="minorHAnsi" w:hAnsiTheme="minorHAnsi"/>
          <w:sz w:val="18"/>
          <w:szCs w:val="18"/>
        </w:rPr>
        <w:t xml:space="preserve">. Front </w:t>
      </w:r>
      <w:proofErr w:type="spellStart"/>
      <w:r w:rsidR="003479D5">
        <w:rPr>
          <w:rFonts w:asciiTheme="minorHAnsi" w:hAnsiTheme="minorHAnsi"/>
          <w:sz w:val="18"/>
          <w:szCs w:val="18"/>
        </w:rPr>
        <w:t>Immunol</w:t>
      </w:r>
      <w:proofErr w:type="spellEnd"/>
      <w:r w:rsidR="003479D5">
        <w:rPr>
          <w:rFonts w:asciiTheme="minorHAnsi" w:hAnsiTheme="minorHAnsi"/>
          <w:sz w:val="18"/>
          <w:szCs w:val="18"/>
        </w:rPr>
        <w:t xml:space="preserve"> 8:493. </w:t>
      </w:r>
    </w:p>
    <w:p w14:paraId="3AAE212E" w14:textId="38F6BDDD" w:rsidR="009A2991" w:rsidRPr="002A27E6" w:rsidRDefault="009A2991" w:rsidP="002A27E6">
      <w:pPr>
        <w:pStyle w:val="NormalWeb"/>
        <w:numPr>
          <w:ilvl w:val="0"/>
          <w:numId w:val="3"/>
        </w:numPr>
        <w:rPr>
          <w:rFonts w:asciiTheme="minorHAnsi" w:hAnsiTheme="minorHAnsi"/>
          <w:sz w:val="18"/>
          <w:szCs w:val="18"/>
        </w:rPr>
      </w:pPr>
      <w:proofErr w:type="spellStart"/>
      <w:r w:rsidRPr="002A27E6">
        <w:rPr>
          <w:rFonts w:asciiTheme="minorHAnsi" w:hAnsiTheme="minorHAnsi"/>
          <w:sz w:val="18"/>
          <w:szCs w:val="18"/>
        </w:rPr>
        <w:t>Balomenos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D, </w:t>
      </w:r>
      <w:proofErr w:type="spellStart"/>
      <w:r w:rsidRPr="002A27E6">
        <w:rPr>
          <w:rFonts w:asciiTheme="minorHAnsi" w:hAnsiTheme="minorHAnsi"/>
          <w:sz w:val="18"/>
          <w:szCs w:val="18"/>
        </w:rPr>
        <w:t>Shokri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R, </w:t>
      </w:r>
      <w:proofErr w:type="spellStart"/>
      <w:r w:rsidRPr="002A27E6">
        <w:rPr>
          <w:rFonts w:asciiTheme="minorHAnsi" w:hAnsiTheme="minorHAnsi"/>
          <w:sz w:val="18"/>
          <w:szCs w:val="18"/>
        </w:rPr>
        <w:t>Daszkiewicz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L,</w:t>
      </w:r>
      <w:r w:rsidRPr="002A27E6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2A27E6">
        <w:rPr>
          <w:rFonts w:asciiTheme="minorHAnsi" w:hAnsiTheme="minorHAnsi"/>
          <w:sz w:val="18"/>
          <w:szCs w:val="18"/>
        </w:rPr>
        <w:t>Balomenos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D (2017) </w:t>
      </w:r>
      <w:proofErr w:type="spellStart"/>
      <w:r w:rsidRPr="002A27E6">
        <w:rPr>
          <w:rFonts w:asciiTheme="minorHAnsi" w:hAnsiTheme="minorHAnsi"/>
          <w:sz w:val="18"/>
          <w:szCs w:val="18"/>
        </w:rPr>
        <w:t>On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2A27E6">
        <w:rPr>
          <w:rFonts w:asciiTheme="minorHAnsi" w:hAnsiTheme="minorHAnsi"/>
          <w:sz w:val="18"/>
          <w:szCs w:val="18"/>
        </w:rPr>
        <w:t>how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fas apoptosis-</w:t>
      </w:r>
      <w:proofErr w:type="spellStart"/>
      <w:r w:rsidRPr="002A27E6">
        <w:rPr>
          <w:rFonts w:asciiTheme="minorHAnsi" w:hAnsiTheme="minorHAnsi"/>
          <w:sz w:val="18"/>
          <w:szCs w:val="18"/>
        </w:rPr>
        <w:t>independent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2A27E6">
        <w:rPr>
          <w:rFonts w:asciiTheme="minorHAnsi" w:hAnsiTheme="minorHAnsi"/>
          <w:sz w:val="18"/>
          <w:szCs w:val="18"/>
        </w:rPr>
        <w:t>pathways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drive T </w:t>
      </w:r>
      <w:proofErr w:type="spellStart"/>
      <w:r w:rsidRPr="002A27E6">
        <w:rPr>
          <w:rFonts w:asciiTheme="minorHAnsi" w:hAnsiTheme="minorHAnsi"/>
          <w:sz w:val="18"/>
          <w:szCs w:val="18"/>
        </w:rPr>
        <w:t>cell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2A27E6">
        <w:rPr>
          <w:rFonts w:asciiTheme="minorHAnsi" w:hAnsiTheme="minorHAnsi"/>
          <w:sz w:val="18"/>
          <w:szCs w:val="18"/>
        </w:rPr>
        <w:t>hyperproliferation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and </w:t>
      </w:r>
      <w:proofErr w:type="spellStart"/>
      <w:r w:rsidRPr="002A27E6">
        <w:rPr>
          <w:rFonts w:asciiTheme="minorHAnsi" w:hAnsiTheme="minorHAnsi"/>
          <w:sz w:val="18"/>
          <w:szCs w:val="18"/>
        </w:rPr>
        <w:t>lymphadenopathy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in </w:t>
      </w:r>
      <w:proofErr w:type="spellStart"/>
      <w:r w:rsidRPr="002A27E6">
        <w:rPr>
          <w:rFonts w:asciiTheme="minorHAnsi" w:hAnsiTheme="minorHAnsi"/>
          <w:sz w:val="18"/>
          <w:szCs w:val="18"/>
        </w:rPr>
        <w:t>lpr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2A27E6">
        <w:rPr>
          <w:rFonts w:asciiTheme="minorHAnsi" w:hAnsiTheme="minorHAnsi"/>
          <w:sz w:val="18"/>
          <w:szCs w:val="18"/>
        </w:rPr>
        <w:t>mice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. Front </w:t>
      </w:r>
      <w:proofErr w:type="spellStart"/>
      <w:r w:rsidRPr="002A27E6">
        <w:rPr>
          <w:rFonts w:asciiTheme="minorHAnsi" w:hAnsiTheme="minorHAnsi"/>
          <w:sz w:val="18"/>
          <w:szCs w:val="18"/>
        </w:rPr>
        <w:t>Immunol</w:t>
      </w:r>
      <w:proofErr w:type="spellEnd"/>
      <w:r w:rsidRPr="002A27E6">
        <w:rPr>
          <w:rFonts w:asciiTheme="minorHAnsi" w:hAnsiTheme="minorHAnsi"/>
          <w:sz w:val="18"/>
          <w:szCs w:val="18"/>
        </w:rPr>
        <w:t xml:space="preserve">. </w:t>
      </w:r>
    </w:p>
    <w:p w14:paraId="604D0877" w14:textId="2942DB04" w:rsidR="009A2991" w:rsidRDefault="009A2991" w:rsidP="008F423F">
      <w:pPr>
        <w:pStyle w:val="NormalWeb"/>
        <w:numPr>
          <w:ilvl w:val="0"/>
          <w:numId w:val="3"/>
        </w:numPr>
        <w:rPr>
          <w:rFonts w:asciiTheme="minorHAnsi" w:hAnsiTheme="minorHAnsi"/>
          <w:sz w:val="18"/>
          <w:szCs w:val="18"/>
        </w:rPr>
      </w:pPr>
      <w:proofErr w:type="spellStart"/>
      <w:r w:rsidRPr="009A2991">
        <w:rPr>
          <w:rFonts w:asciiTheme="minorHAnsi" w:hAnsiTheme="minorHAnsi"/>
          <w:sz w:val="18"/>
          <w:szCs w:val="18"/>
        </w:rPr>
        <w:t>Rackov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G, Hernández-Jiménez E, </w:t>
      </w:r>
      <w:proofErr w:type="spellStart"/>
      <w:r w:rsidRPr="009A2991">
        <w:rPr>
          <w:rFonts w:asciiTheme="minorHAnsi" w:hAnsiTheme="minorHAnsi"/>
          <w:sz w:val="18"/>
          <w:szCs w:val="18"/>
        </w:rPr>
        <w:t>Shokri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R and </w:t>
      </w:r>
      <w:proofErr w:type="spellStart"/>
      <w:r w:rsidRPr="009A2991">
        <w:rPr>
          <w:rFonts w:asciiTheme="minorHAnsi" w:hAnsiTheme="minorHAnsi"/>
          <w:sz w:val="18"/>
          <w:szCs w:val="18"/>
        </w:rPr>
        <w:t>Balomenos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D. (2016) p21 </w:t>
      </w:r>
      <w:proofErr w:type="spellStart"/>
      <w:r w:rsidRPr="009A2991">
        <w:rPr>
          <w:rFonts w:asciiTheme="minorHAnsi" w:hAnsiTheme="minorHAnsi"/>
          <w:sz w:val="18"/>
          <w:szCs w:val="18"/>
        </w:rPr>
        <w:t>mediates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macrophage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reprogramming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through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regulation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of p50-p50 NF-</w:t>
      </w:r>
      <w:proofErr w:type="spellStart"/>
      <w:r w:rsidRPr="009A2991">
        <w:rPr>
          <w:rFonts w:asciiTheme="minorHAnsi" w:eastAsia="Calibri" w:hAnsiTheme="minorHAnsi" w:cs="Calibri"/>
          <w:sz w:val="18"/>
          <w:szCs w:val="18"/>
        </w:rPr>
        <w:t>κ</w:t>
      </w:r>
      <w:r w:rsidRPr="009A2991">
        <w:rPr>
          <w:rFonts w:asciiTheme="minorHAnsi" w:hAnsiTheme="minorHAnsi"/>
          <w:sz w:val="18"/>
          <w:szCs w:val="18"/>
        </w:rPr>
        <w:t>B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and IFN-</w:t>
      </w:r>
      <w:r w:rsidRPr="009A2991">
        <w:rPr>
          <w:rFonts w:asciiTheme="minorHAnsi" w:eastAsia="Calibri" w:hAnsiTheme="minorHAnsi" w:cs="Calibri"/>
          <w:sz w:val="18"/>
          <w:szCs w:val="18"/>
        </w:rPr>
        <w:t>β</w:t>
      </w:r>
      <w:r w:rsidRPr="009A2991">
        <w:rPr>
          <w:rFonts w:asciiTheme="minorHAnsi" w:hAnsiTheme="minorHAnsi"/>
          <w:sz w:val="18"/>
          <w:szCs w:val="18"/>
        </w:rPr>
        <w:t xml:space="preserve">. J </w:t>
      </w:r>
      <w:proofErr w:type="spellStart"/>
      <w:r w:rsidRPr="009A2991">
        <w:rPr>
          <w:rFonts w:asciiTheme="minorHAnsi" w:hAnsiTheme="minorHAnsi"/>
          <w:sz w:val="18"/>
          <w:szCs w:val="18"/>
        </w:rPr>
        <w:t>Clin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Invest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126:3089–3103. </w:t>
      </w:r>
    </w:p>
    <w:p w14:paraId="4ED648BD" w14:textId="0510A006" w:rsidR="007B6502" w:rsidRPr="009A2991" w:rsidRDefault="007B6502" w:rsidP="009A2991">
      <w:pPr>
        <w:pStyle w:val="NormalWeb"/>
        <w:numPr>
          <w:ilvl w:val="0"/>
          <w:numId w:val="3"/>
        </w:numPr>
        <w:rPr>
          <w:rFonts w:asciiTheme="minorHAnsi" w:hAnsiTheme="minorHAnsi"/>
          <w:sz w:val="18"/>
          <w:szCs w:val="18"/>
        </w:rPr>
      </w:pPr>
      <w:proofErr w:type="spellStart"/>
      <w:r w:rsidRPr="009A2991">
        <w:rPr>
          <w:rFonts w:asciiTheme="minorHAnsi" w:hAnsiTheme="minorHAnsi"/>
          <w:sz w:val="18"/>
          <w:szCs w:val="18"/>
        </w:rPr>
        <w:t>Daszkiewicz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L, </w:t>
      </w:r>
      <w:r w:rsidRPr="009A2991">
        <w:rPr>
          <w:rFonts w:asciiTheme="minorHAnsi" w:hAnsiTheme="minorHAnsi"/>
          <w:sz w:val="18"/>
          <w:szCs w:val="18"/>
        </w:rPr>
        <w:t xml:space="preserve">Vázquez-Mateo C, </w:t>
      </w:r>
      <w:proofErr w:type="spellStart"/>
      <w:r w:rsidRPr="009A2991">
        <w:rPr>
          <w:rFonts w:asciiTheme="minorHAnsi" w:hAnsiTheme="minorHAnsi"/>
          <w:sz w:val="18"/>
          <w:szCs w:val="18"/>
        </w:rPr>
        <w:t>Rackov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G, </w:t>
      </w:r>
      <w:r w:rsidRPr="009A2991">
        <w:rPr>
          <w:rFonts w:asciiTheme="minorHAnsi" w:hAnsiTheme="minorHAnsi"/>
          <w:sz w:val="18"/>
          <w:szCs w:val="18"/>
        </w:rPr>
        <w:t xml:space="preserve">and </w:t>
      </w:r>
      <w:proofErr w:type="spellStart"/>
      <w:r w:rsidRPr="009A2991">
        <w:rPr>
          <w:rFonts w:asciiTheme="minorHAnsi" w:hAnsiTheme="minorHAnsi"/>
          <w:sz w:val="18"/>
          <w:szCs w:val="18"/>
        </w:rPr>
        <w:t>Balomenos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D.  (2015) </w:t>
      </w:r>
      <w:proofErr w:type="spellStart"/>
      <w:r w:rsidRPr="009A2991">
        <w:rPr>
          <w:rFonts w:asciiTheme="minorHAnsi" w:hAnsiTheme="minorHAnsi"/>
          <w:sz w:val="18"/>
          <w:szCs w:val="18"/>
        </w:rPr>
        <w:t>Distinct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p21 </w:t>
      </w:r>
      <w:proofErr w:type="spellStart"/>
      <w:r w:rsidRPr="009A2991">
        <w:rPr>
          <w:rFonts w:asciiTheme="minorHAnsi" w:hAnsiTheme="minorHAnsi"/>
          <w:sz w:val="18"/>
          <w:szCs w:val="18"/>
        </w:rPr>
        <w:t>requirements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for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regulating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normal and </w:t>
      </w:r>
      <w:proofErr w:type="spellStart"/>
      <w:r w:rsidRPr="009A2991">
        <w:rPr>
          <w:rFonts w:asciiTheme="minorHAnsi" w:hAnsiTheme="minorHAnsi"/>
          <w:sz w:val="18"/>
          <w:szCs w:val="18"/>
        </w:rPr>
        <w:t>self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-reactive T </w:t>
      </w:r>
      <w:proofErr w:type="spellStart"/>
      <w:r w:rsidRPr="009A2991">
        <w:rPr>
          <w:rFonts w:asciiTheme="minorHAnsi" w:hAnsiTheme="minorHAnsi"/>
          <w:sz w:val="18"/>
          <w:szCs w:val="18"/>
        </w:rPr>
        <w:t>cells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through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IFN-</w:t>
      </w:r>
      <w:r w:rsidRPr="009A2991">
        <w:rPr>
          <w:rFonts w:asciiTheme="minorHAnsi" w:eastAsia="Calibri" w:hAnsiTheme="minorHAnsi" w:cs="Calibri"/>
          <w:sz w:val="18"/>
          <w:szCs w:val="18"/>
        </w:rPr>
        <w:t>γ</w:t>
      </w:r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production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Pr="009A2991">
        <w:rPr>
          <w:rFonts w:asciiTheme="minorHAnsi" w:hAnsiTheme="minorHAnsi"/>
          <w:sz w:val="18"/>
          <w:szCs w:val="18"/>
        </w:rPr>
        <w:t>Sci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Rep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5:7691. </w:t>
      </w:r>
      <w:bookmarkStart w:id="0" w:name="_GoBack"/>
      <w:bookmarkEnd w:id="0"/>
    </w:p>
    <w:p w14:paraId="47217698" w14:textId="62C15696" w:rsidR="00AE3E37" w:rsidRPr="003479D5" w:rsidRDefault="009A2991" w:rsidP="003479D5">
      <w:pPr>
        <w:pStyle w:val="NormalWeb"/>
        <w:numPr>
          <w:ilvl w:val="0"/>
          <w:numId w:val="3"/>
        </w:numPr>
        <w:rPr>
          <w:rFonts w:asciiTheme="minorHAnsi" w:hAnsiTheme="minorHAnsi"/>
          <w:sz w:val="18"/>
          <w:szCs w:val="18"/>
        </w:rPr>
        <w:sectPr w:rsidR="00AE3E37" w:rsidRPr="003479D5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proofErr w:type="spellStart"/>
      <w:r w:rsidRPr="009A2991">
        <w:rPr>
          <w:rFonts w:asciiTheme="minorHAnsi" w:hAnsiTheme="minorHAnsi"/>
          <w:sz w:val="18"/>
          <w:szCs w:val="18"/>
        </w:rPr>
        <w:t>Mavers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M, </w:t>
      </w:r>
      <w:proofErr w:type="spellStart"/>
      <w:r w:rsidRPr="009A2991">
        <w:rPr>
          <w:rFonts w:asciiTheme="minorHAnsi" w:hAnsiTheme="minorHAnsi"/>
          <w:sz w:val="18"/>
          <w:szCs w:val="18"/>
        </w:rPr>
        <w:t>Cuda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CM, </w:t>
      </w:r>
      <w:proofErr w:type="spellStart"/>
      <w:r w:rsidRPr="009A2991">
        <w:rPr>
          <w:rFonts w:asciiTheme="minorHAnsi" w:hAnsiTheme="minorHAnsi"/>
          <w:sz w:val="18"/>
          <w:szCs w:val="18"/>
        </w:rPr>
        <w:t>Misharin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A V., et al (2012) </w:t>
      </w:r>
      <w:proofErr w:type="spellStart"/>
      <w:r w:rsidRPr="009A2991">
        <w:rPr>
          <w:rFonts w:asciiTheme="minorHAnsi" w:hAnsiTheme="minorHAnsi"/>
          <w:sz w:val="18"/>
          <w:szCs w:val="18"/>
        </w:rPr>
        <w:t>Cyclin-dependent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kinase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inhibitor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p21, </w:t>
      </w:r>
      <w:proofErr w:type="spellStart"/>
      <w:r w:rsidRPr="009A2991">
        <w:rPr>
          <w:rFonts w:asciiTheme="minorHAnsi" w:hAnsiTheme="minorHAnsi"/>
          <w:sz w:val="18"/>
          <w:szCs w:val="18"/>
        </w:rPr>
        <w:t>via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its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C-terminal </w:t>
      </w:r>
      <w:proofErr w:type="spellStart"/>
      <w:r w:rsidRPr="009A2991">
        <w:rPr>
          <w:rFonts w:asciiTheme="minorHAnsi" w:hAnsiTheme="minorHAnsi"/>
          <w:sz w:val="18"/>
          <w:szCs w:val="18"/>
        </w:rPr>
        <w:t>domain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, </w:t>
      </w:r>
      <w:proofErr w:type="spellStart"/>
      <w:r w:rsidRPr="009A2991">
        <w:rPr>
          <w:rFonts w:asciiTheme="minorHAnsi" w:hAnsiTheme="minorHAnsi"/>
          <w:sz w:val="18"/>
          <w:szCs w:val="18"/>
        </w:rPr>
        <w:t>is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essential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for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resolution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of</w:t>
      </w:r>
      <w: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murine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inflammatory</w:t>
      </w:r>
      <w:proofErr w:type="spellEnd"/>
      <w:r w:rsidRPr="009A2991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Pr="009A2991">
        <w:rPr>
          <w:rFonts w:asciiTheme="minorHAnsi" w:hAnsiTheme="minorHAnsi"/>
          <w:sz w:val="18"/>
          <w:szCs w:val="18"/>
        </w:rPr>
        <w:t>arthri</w:t>
      </w:r>
      <w:r w:rsidR="003479D5">
        <w:rPr>
          <w:rFonts w:asciiTheme="minorHAnsi" w:hAnsiTheme="minorHAnsi"/>
          <w:sz w:val="18"/>
          <w:szCs w:val="18"/>
        </w:rPr>
        <w:t>tis</w:t>
      </w:r>
      <w:proofErr w:type="spellEnd"/>
      <w:r w:rsidR="003479D5">
        <w:rPr>
          <w:rFonts w:asciiTheme="minorHAnsi" w:hAnsiTheme="minorHAnsi"/>
          <w:sz w:val="18"/>
          <w:szCs w:val="18"/>
        </w:rPr>
        <w:t xml:space="preserve">. </w:t>
      </w:r>
      <w:proofErr w:type="spellStart"/>
      <w:r w:rsidR="003479D5">
        <w:rPr>
          <w:rFonts w:asciiTheme="minorHAnsi" w:hAnsiTheme="minorHAnsi"/>
          <w:sz w:val="18"/>
          <w:szCs w:val="18"/>
        </w:rPr>
        <w:t>Arthritis</w:t>
      </w:r>
      <w:proofErr w:type="spellEnd"/>
      <w:r w:rsidR="003479D5">
        <w:rPr>
          <w:rFonts w:asciiTheme="minorHAnsi" w:hAnsiTheme="minorHAnsi"/>
          <w:sz w:val="18"/>
          <w:szCs w:val="18"/>
        </w:rPr>
        <w:t xml:space="preserve"> </w:t>
      </w:r>
      <w:proofErr w:type="spellStart"/>
      <w:r w:rsidR="003479D5">
        <w:rPr>
          <w:rFonts w:asciiTheme="minorHAnsi" w:hAnsiTheme="minorHAnsi"/>
          <w:sz w:val="18"/>
          <w:szCs w:val="18"/>
        </w:rPr>
        <w:t>Rheum</w:t>
      </w:r>
      <w:proofErr w:type="spellEnd"/>
      <w:r w:rsidR="003479D5">
        <w:rPr>
          <w:rFonts w:asciiTheme="minorHAnsi" w:hAnsiTheme="minorHAnsi"/>
          <w:sz w:val="18"/>
          <w:szCs w:val="18"/>
        </w:rPr>
        <w:t xml:space="preserve"> 64:141–1</w:t>
      </w:r>
    </w:p>
    <w:p w14:paraId="69CF843A" w14:textId="77777777" w:rsidR="00AE3E37" w:rsidRDefault="00AE3E37">
      <w:pPr>
        <w:pStyle w:val="Textoindependiente"/>
        <w:rPr>
          <w:rFonts w:ascii="Calibri"/>
          <w:sz w:val="20"/>
        </w:rPr>
      </w:pPr>
    </w:p>
    <w:p w14:paraId="59108B32" w14:textId="77777777"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_tradnl" w:eastAsia="es-ES_tradnl"/>
        </w:rPr>
        <mc:AlternateContent>
          <mc:Choice Requires="wpg">
            <w:drawing>
              <wp:inline distT="0" distB="0" distL="0" distR="0" wp14:anchorId="635BD783" wp14:editId="5567B20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0B8908" id="Group 4" o:spid="_x0000_s1026" style="width:313.05pt;height:2pt;mso-position-horizontal-relative:char;mso-position-vertical-relative:line" coordsize="6261,4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">
                <v:line id="Line 5" o:spid="_x0000_s1027" style="position:absolute;visibility:visible;mso-wrap-style:square" from="20,20" to="6241,20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DKmCzP+AAAA6gEAABMAAAAAAAAAAAAAAAAAAAAAAFtDb250ZW50X1R5&#10;cGVzXS54bWxQSwECLQAUAAYACAAAACEAp/ZN89YAAACXAQAACwAAAAAAAAAAAAAAAAAv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6AB8ED1B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211084" w:rsidRPr="00ED1985">
        <w:rPr>
          <w:rFonts w:ascii="Arial" w:hAnsi="Arial" w:cs="Arial"/>
          <w:noProof/>
          <w:lang w:eastAsia="es-ES_tradnl"/>
        </w:rPr>
        <w:drawing>
          <wp:inline distT="0" distB="0" distL="0" distR="0" wp14:anchorId="06249C0B" wp14:editId="45831701">
            <wp:extent cx="758613" cy="913479"/>
            <wp:effectExtent l="0" t="0" r="3810" b="1270"/>
            <wp:docPr id="5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3341" cy="9312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536D0CE2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211084">
        <w:rPr>
          <w:rFonts w:ascii="Arial"/>
          <w:sz w:val="14"/>
        </w:rPr>
        <w:t>dbalomenos@cnb.csic.es</w:t>
      </w:r>
    </w:p>
    <w:p w14:paraId="19941F68" w14:textId="77777777" w:rsidR="00211084" w:rsidRPr="00211084" w:rsidRDefault="00211084" w:rsidP="00211084">
      <w:pPr>
        <w:ind w:firstLine="708"/>
        <w:jc w:val="both"/>
        <w:rPr>
          <w:rFonts w:ascii="Arial" w:hAnsi="Arial" w:cs="Arial"/>
          <w:noProof/>
          <w:color w:val="000000"/>
          <w:sz w:val="15"/>
          <w:szCs w:val="15"/>
        </w:rPr>
      </w:pPr>
      <w:proofErr w:type="spellStart"/>
      <w:r w:rsidRPr="00211084">
        <w:rPr>
          <w:rFonts w:ascii="Arial" w:hAnsi="Arial" w:cs="Arial"/>
          <w:sz w:val="15"/>
          <w:szCs w:val="15"/>
          <w:lang w:val="en-GB"/>
        </w:rPr>
        <w:t>Dimitrios</w:t>
      </w:r>
      <w:proofErr w:type="spellEnd"/>
      <w:r w:rsidRPr="00211084">
        <w:rPr>
          <w:rFonts w:ascii="Arial" w:hAnsi="Arial" w:cs="Arial"/>
          <w:sz w:val="15"/>
          <w:szCs w:val="15"/>
          <w:lang w:val="en-GB"/>
        </w:rPr>
        <w:t xml:space="preserve"> </w:t>
      </w:r>
      <w:proofErr w:type="spellStart"/>
      <w:r w:rsidRPr="00211084">
        <w:rPr>
          <w:rFonts w:ascii="Arial" w:hAnsi="Arial" w:cs="Arial"/>
          <w:sz w:val="15"/>
          <w:szCs w:val="15"/>
          <w:lang w:val="en-GB"/>
        </w:rPr>
        <w:t>Balomenos</w:t>
      </w:r>
      <w:proofErr w:type="spellEnd"/>
      <w:r w:rsidRPr="00211084">
        <w:rPr>
          <w:rFonts w:ascii="Arial" w:hAnsi="Arial" w:cs="Arial"/>
          <w:sz w:val="15"/>
          <w:szCs w:val="15"/>
          <w:lang w:val="en-GB"/>
        </w:rPr>
        <w:t xml:space="preserve"> received his PhD of Rutgers University, NJ. And continued his postdoctoral training at the Scripps Research Institute (La Jolla, Ca) and in the Department of Immunology and Oncology of CNB/CSIC in </w:t>
      </w:r>
      <w:proofErr w:type="spellStart"/>
      <w:proofErr w:type="gramStart"/>
      <w:r w:rsidRPr="00211084">
        <w:rPr>
          <w:rFonts w:ascii="Arial" w:hAnsi="Arial" w:cs="Arial"/>
          <w:sz w:val="15"/>
          <w:szCs w:val="15"/>
          <w:lang w:val="en-GB"/>
        </w:rPr>
        <w:t>Madrid,Spain</w:t>
      </w:r>
      <w:proofErr w:type="spellEnd"/>
      <w:proofErr w:type="gramEnd"/>
      <w:r w:rsidRPr="00211084">
        <w:rPr>
          <w:rFonts w:ascii="Arial" w:hAnsi="Arial" w:cs="Arial"/>
          <w:sz w:val="15"/>
          <w:szCs w:val="15"/>
          <w:lang w:val="en-GB"/>
        </w:rPr>
        <w:t xml:space="preserve">. In 2002 he was awarded an independent group research contract and from 2010 he is a tenured group leader at CNB/CSIC. Major discoveries include the absolute requirement of IFN-gamma for Systemic Lupus Erythematosus pathogenesis, (D. </w:t>
      </w:r>
      <w:proofErr w:type="spellStart"/>
      <w:r w:rsidRPr="00211084">
        <w:rPr>
          <w:rFonts w:ascii="Arial" w:hAnsi="Arial" w:cs="Arial"/>
          <w:sz w:val="15"/>
          <w:szCs w:val="15"/>
          <w:lang w:val="en-GB"/>
        </w:rPr>
        <w:t>Balomenos</w:t>
      </w:r>
      <w:proofErr w:type="spellEnd"/>
      <w:r w:rsidRPr="00211084">
        <w:rPr>
          <w:rFonts w:ascii="Arial" w:hAnsi="Arial" w:cs="Arial"/>
          <w:sz w:val="15"/>
          <w:szCs w:val="15"/>
          <w:lang w:val="en-GB"/>
        </w:rPr>
        <w:t xml:space="preserve"> et al, </w:t>
      </w:r>
      <w:r w:rsidRPr="00211084">
        <w:rPr>
          <w:rFonts w:ascii="Arial" w:hAnsi="Arial"/>
          <w:i/>
          <w:sz w:val="15"/>
          <w:szCs w:val="15"/>
        </w:rPr>
        <w:t xml:space="preserve">J. </w:t>
      </w:r>
      <w:proofErr w:type="spellStart"/>
      <w:r w:rsidRPr="00211084">
        <w:rPr>
          <w:rFonts w:ascii="Arial" w:hAnsi="Arial"/>
          <w:i/>
          <w:sz w:val="15"/>
          <w:szCs w:val="15"/>
        </w:rPr>
        <w:t>Clin</w:t>
      </w:r>
      <w:proofErr w:type="spellEnd"/>
      <w:r w:rsidRPr="00211084">
        <w:rPr>
          <w:rFonts w:ascii="Arial" w:hAnsi="Arial"/>
          <w:i/>
          <w:sz w:val="15"/>
          <w:szCs w:val="15"/>
        </w:rPr>
        <w:t>. Invest.</w:t>
      </w:r>
      <w:r w:rsidRPr="00211084">
        <w:rPr>
          <w:rFonts w:ascii="Arial" w:hAnsi="Arial" w:cs="Arial"/>
          <w:sz w:val="15"/>
          <w:szCs w:val="15"/>
          <w:lang w:val="en-GB"/>
        </w:rPr>
        <w:t xml:space="preserve"> 1997), the discovery of p21-dependent pathways for regulation of T cell tolerance and autoimmunity (D. </w:t>
      </w:r>
      <w:proofErr w:type="spellStart"/>
      <w:r w:rsidRPr="00211084">
        <w:rPr>
          <w:rFonts w:ascii="Arial" w:hAnsi="Arial" w:cs="Arial"/>
          <w:sz w:val="15"/>
          <w:szCs w:val="15"/>
          <w:lang w:val="en-GB"/>
        </w:rPr>
        <w:t>Balomenos</w:t>
      </w:r>
      <w:proofErr w:type="spellEnd"/>
      <w:r w:rsidRPr="00211084">
        <w:rPr>
          <w:rFonts w:ascii="Arial" w:hAnsi="Arial" w:cs="Arial"/>
          <w:sz w:val="15"/>
          <w:szCs w:val="15"/>
          <w:lang w:val="en-GB"/>
        </w:rPr>
        <w:t xml:space="preserve"> et al, </w:t>
      </w:r>
      <w:r w:rsidRPr="00211084">
        <w:rPr>
          <w:rFonts w:ascii="Arial" w:hAnsi="Arial"/>
          <w:i/>
          <w:sz w:val="15"/>
          <w:szCs w:val="15"/>
        </w:rPr>
        <w:t>Nat. Med.</w:t>
      </w:r>
      <w:r w:rsidRPr="00211084">
        <w:rPr>
          <w:rFonts w:ascii="Arial" w:hAnsi="Arial" w:cs="Arial"/>
          <w:sz w:val="15"/>
          <w:szCs w:val="15"/>
          <w:lang w:val="en-GB"/>
        </w:rPr>
        <w:t xml:space="preserve"> 2000), and the requirement for p21 in </w:t>
      </w:r>
      <w:r w:rsidRPr="00211084">
        <w:rPr>
          <w:rFonts w:ascii="Arial" w:hAnsi="Arial"/>
          <w:sz w:val="15"/>
          <w:szCs w:val="15"/>
        </w:rPr>
        <w:t>reprogramming of M1-to-M2 macrophages, though the regulation of p50/p50 NF-kB and IFN-beta expression (</w:t>
      </w:r>
      <w:proofErr w:type="spellStart"/>
      <w:r w:rsidRPr="00211084">
        <w:rPr>
          <w:rFonts w:ascii="Arial" w:hAnsi="Arial"/>
          <w:sz w:val="15"/>
          <w:szCs w:val="15"/>
        </w:rPr>
        <w:t>Rackov</w:t>
      </w:r>
      <w:proofErr w:type="spellEnd"/>
      <w:r w:rsidRPr="00211084">
        <w:rPr>
          <w:rFonts w:ascii="Arial" w:hAnsi="Arial"/>
          <w:sz w:val="15"/>
          <w:szCs w:val="15"/>
        </w:rPr>
        <w:t xml:space="preserve"> et al, </w:t>
      </w:r>
      <w:r w:rsidRPr="00211084">
        <w:rPr>
          <w:rFonts w:ascii="Arial" w:hAnsi="Arial"/>
          <w:i/>
          <w:sz w:val="15"/>
          <w:szCs w:val="15"/>
        </w:rPr>
        <w:t xml:space="preserve">J. </w:t>
      </w:r>
      <w:proofErr w:type="spellStart"/>
      <w:r w:rsidRPr="00211084">
        <w:rPr>
          <w:rFonts w:ascii="Arial" w:hAnsi="Arial"/>
          <w:i/>
          <w:sz w:val="15"/>
          <w:szCs w:val="15"/>
        </w:rPr>
        <w:t>Clin</w:t>
      </w:r>
      <w:proofErr w:type="spellEnd"/>
      <w:r w:rsidRPr="00211084">
        <w:rPr>
          <w:rFonts w:ascii="Arial" w:hAnsi="Arial"/>
          <w:i/>
          <w:sz w:val="15"/>
          <w:szCs w:val="15"/>
        </w:rPr>
        <w:t xml:space="preserve"> Invest</w:t>
      </w:r>
      <w:r w:rsidRPr="00211084">
        <w:rPr>
          <w:rFonts w:ascii="Arial" w:hAnsi="Arial"/>
          <w:sz w:val="15"/>
          <w:szCs w:val="15"/>
        </w:rPr>
        <w:t xml:space="preserve"> 2016). T</w:t>
      </w:r>
      <w:r w:rsidRPr="00211084">
        <w:rPr>
          <w:rFonts w:ascii="Arial" w:hAnsi="Arial" w:cs="Arial"/>
          <w:noProof/>
          <w:color w:val="000000"/>
          <w:sz w:val="15"/>
          <w:szCs w:val="15"/>
        </w:rPr>
        <w:t>he group focuses in understanding how p21 and other molecules restrain extreme immune responses and discover p21 molecular patners that control ecssessive infalmmation and might harbor potential treatment capacity.</w:t>
      </w:r>
    </w:p>
    <w:p w14:paraId="6285A26F" w14:textId="77777777"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_tradnl" w:eastAsia="es-ES_tradnl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116665E" wp14:editId="6361F84B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8D29C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" strokecolor="#004080" strokeweight=".5pt">
                <w10:wrap type="topAndBottom" anchorx="page"/>
              </v:line>
            </w:pict>
          </mc:Fallback>
        </mc:AlternateContent>
      </w:r>
    </w:p>
    <w:p w14:paraId="3BB56B5E" w14:textId="77777777" w:rsidR="00AE3E37" w:rsidRDefault="00AE3E37">
      <w:pPr>
        <w:pStyle w:val="Textoindependiente"/>
        <w:rPr>
          <w:rFonts w:ascii="Arial"/>
          <w:sz w:val="20"/>
        </w:rPr>
      </w:pPr>
    </w:p>
    <w:p w14:paraId="39E4D655" w14:textId="77777777" w:rsidR="00AE3E37" w:rsidRDefault="00AE3E37">
      <w:pPr>
        <w:pStyle w:val="Textoindependiente"/>
        <w:rPr>
          <w:rFonts w:ascii="Arial"/>
          <w:sz w:val="20"/>
        </w:rPr>
      </w:pPr>
    </w:p>
    <w:p w14:paraId="1AFF44E9" w14:textId="77777777" w:rsidR="00AE3E37" w:rsidRDefault="00AE3E37">
      <w:pPr>
        <w:pStyle w:val="Textoindependiente"/>
        <w:spacing w:before="7"/>
        <w:rPr>
          <w:rFonts w:ascii="Arial"/>
          <w:sz w:val="29"/>
        </w:rPr>
      </w:pPr>
    </w:p>
    <w:p w14:paraId="4E0363CE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7318A269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131B886A" w14:textId="77777777"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FCD993" w14:textId="77777777" w:rsidR="00C562B3" w:rsidRDefault="00C562B3">
      <w:r>
        <w:separator/>
      </w:r>
    </w:p>
  </w:endnote>
  <w:endnote w:type="continuationSeparator" w:id="0">
    <w:p w14:paraId="76501E42" w14:textId="77777777" w:rsidR="00C562B3" w:rsidRDefault="00C56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36D4D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06E219BE" wp14:editId="2B023FB4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2DFEED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499B10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219BE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692DFEED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499B10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052A047" wp14:editId="4CDB8CFF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2B0D72D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53BC2C6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52A047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62B0D72D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53BC2C6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DBCFE3C" wp14:editId="76721757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04B6D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22E665B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BCFE3C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6F04B6D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22E665B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9E0C4E" w14:textId="77777777" w:rsidR="00C562B3" w:rsidRDefault="00C562B3">
      <w:r>
        <w:separator/>
      </w:r>
    </w:p>
  </w:footnote>
  <w:footnote w:type="continuationSeparator" w:id="0">
    <w:p w14:paraId="51D1B97E" w14:textId="77777777" w:rsidR="00C562B3" w:rsidRDefault="00C562B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2D84A2" w14:textId="77777777"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D508EA0" wp14:editId="267C7D4C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F652C1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508EA0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11F652C1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0DF990A" wp14:editId="6CFED299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E3967E" w14:textId="77777777"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3B113E8F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0DF990A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49E3967E" w14:textId="77777777"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3B113E8F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263DF"/>
    <w:rsid w:val="00207A69"/>
    <w:rsid w:val="00211084"/>
    <w:rsid w:val="00292ED9"/>
    <w:rsid w:val="002A27E6"/>
    <w:rsid w:val="003479D5"/>
    <w:rsid w:val="00404E5B"/>
    <w:rsid w:val="00414F7B"/>
    <w:rsid w:val="00417415"/>
    <w:rsid w:val="004355DC"/>
    <w:rsid w:val="004749B4"/>
    <w:rsid w:val="00494130"/>
    <w:rsid w:val="004A7365"/>
    <w:rsid w:val="004F3523"/>
    <w:rsid w:val="004F5892"/>
    <w:rsid w:val="005973B9"/>
    <w:rsid w:val="005B3A56"/>
    <w:rsid w:val="005D3A4E"/>
    <w:rsid w:val="006060CE"/>
    <w:rsid w:val="0063497F"/>
    <w:rsid w:val="00641C5D"/>
    <w:rsid w:val="007B4674"/>
    <w:rsid w:val="007B6502"/>
    <w:rsid w:val="00830D8E"/>
    <w:rsid w:val="00873DF0"/>
    <w:rsid w:val="008756E6"/>
    <w:rsid w:val="008F423F"/>
    <w:rsid w:val="00907BFD"/>
    <w:rsid w:val="009419F5"/>
    <w:rsid w:val="009A2991"/>
    <w:rsid w:val="009B2555"/>
    <w:rsid w:val="009B2D44"/>
    <w:rsid w:val="00A07E82"/>
    <w:rsid w:val="00A10821"/>
    <w:rsid w:val="00A92ED0"/>
    <w:rsid w:val="00A9710C"/>
    <w:rsid w:val="00AE3E37"/>
    <w:rsid w:val="00B00DDA"/>
    <w:rsid w:val="00B21A57"/>
    <w:rsid w:val="00BC64D1"/>
    <w:rsid w:val="00C33602"/>
    <w:rsid w:val="00C562B3"/>
    <w:rsid w:val="00CD6F55"/>
    <w:rsid w:val="00DE3104"/>
    <w:rsid w:val="00E33AC9"/>
    <w:rsid w:val="00E67CB2"/>
    <w:rsid w:val="00F72EEA"/>
    <w:rsid w:val="00F8259F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E3F01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A10">
    <w:name w:val="A10"/>
    <w:uiPriority w:val="99"/>
    <w:rsid w:val="00907BFD"/>
    <w:rPr>
      <w:color w:val="211D1E"/>
      <w:sz w:val="18"/>
      <w:szCs w:val="18"/>
    </w:rPr>
  </w:style>
  <w:style w:type="character" w:customStyle="1" w:styleId="A11">
    <w:name w:val="A11"/>
    <w:uiPriority w:val="99"/>
    <w:rsid w:val="00907BFD"/>
    <w:rPr>
      <w:color w:val="211D1E"/>
      <w:sz w:val="10"/>
      <w:szCs w:val="10"/>
    </w:rPr>
  </w:style>
  <w:style w:type="paragraph" w:styleId="NormalWeb">
    <w:name w:val="Normal (Web)"/>
    <w:basedOn w:val="Normal"/>
    <w:uiPriority w:val="99"/>
    <w:unhideWhenUsed/>
    <w:rsid w:val="008F423F"/>
    <w:pPr>
      <w:widowControl/>
      <w:spacing w:before="100" w:beforeAutospacing="1" w:after="100" w:afterAutospacing="1"/>
    </w:pPr>
    <w:rPr>
      <w:rFonts w:ascii="Times New Roman" w:eastAsiaTheme="minorHAnsi" w:hAnsi="Times New Roman" w:cs="Times New Roman"/>
      <w:sz w:val="24"/>
      <w:szCs w:val="24"/>
      <w:lang w:val="es-ES_tradnl" w:eastAsia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94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2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716</Words>
  <Characters>3939</Characters>
  <Application>Microsoft Macintosh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        Abstract (300 word limit)</vt:lpstr>
      <vt:lpstr>        p21 controls NF-κB activation, macrophage activation and LPS-induced septic shoc</vt:lpstr>
    </vt:vector>
  </TitlesOfParts>
  <Company>Microsoft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mehaboobi shaik</dc:creator>
  <cp:keywords/>
  <dc:description/>
  <cp:lastModifiedBy>Usuario de Microsoft Office</cp:lastModifiedBy>
  <cp:revision>6</cp:revision>
  <dcterms:created xsi:type="dcterms:W3CDTF">2017-07-03T17:01:00Z</dcterms:created>
  <dcterms:modified xsi:type="dcterms:W3CDTF">2017-07-03T18:23:00Z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