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6DD5A" w14:textId="77777777" w:rsidR="00B45DF3" w:rsidRPr="006B78EE" w:rsidRDefault="00B45DF3" w:rsidP="00B45DF3">
      <w:pPr>
        <w:rPr>
          <w:rFonts w:ascii="Cambria" w:hAnsi="Cambria"/>
          <w:b/>
          <w:sz w:val="28"/>
          <w:szCs w:val="28"/>
        </w:rPr>
      </w:pPr>
      <w:r w:rsidRPr="006B78EE">
        <w:rPr>
          <w:rFonts w:ascii="Cambria" w:hAnsi="Cambria"/>
          <w:b/>
          <w:sz w:val="28"/>
          <w:szCs w:val="28"/>
        </w:rPr>
        <w:t>Audit assessing Omalizumab treatment for Chronic Spontaneous Urticaria to NICE guidelines.</w:t>
      </w:r>
    </w:p>
    <w:p w14:paraId="259BBF09" w14:textId="77777777" w:rsidR="006B78EE" w:rsidRPr="006B78EE" w:rsidRDefault="006B78EE">
      <w:pPr>
        <w:pStyle w:val="BodyText"/>
        <w:rPr>
          <w:rFonts w:ascii="Cambria" w:hAnsi="Cambria"/>
          <w:sz w:val="20"/>
        </w:rPr>
      </w:pPr>
      <w:r w:rsidRPr="006B78EE">
        <w:rPr>
          <w:rFonts w:ascii="Cambria" w:hAnsi="Cambria"/>
          <w:sz w:val="20"/>
        </w:rPr>
        <w:t>Tiffany Lau</w:t>
      </w:r>
      <w:r w:rsidRPr="006B78EE">
        <w:rPr>
          <w:rFonts w:ascii="Cambria" w:hAnsi="Cambria"/>
          <w:sz w:val="20"/>
          <w:vertAlign w:val="superscript"/>
        </w:rPr>
        <w:t>1</w:t>
      </w:r>
      <w:r w:rsidRPr="006B78EE">
        <w:rPr>
          <w:rFonts w:ascii="Cambria" w:hAnsi="Cambria"/>
          <w:sz w:val="20"/>
        </w:rPr>
        <w:t>, Dr Helen Bourne</w:t>
      </w:r>
      <w:r w:rsidRPr="006B78EE">
        <w:rPr>
          <w:rFonts w:ascii="Cambria" w:hAnsi="Cambria"/>
          <w:sz w:val="20"/>
          <w:vertAlign w:val="superscript"/>
        </w:rPr>
        <w:t xml:space="preserve">2 </w:t>
      </w:r>
    </w:p>
    <w:p w14:paraId="3CB68A8E" w14:textId="5538A929" w:rsidR="00AE3E37" w:rsidRPr="006B78EE" w:rsidRDefault="006B78EE">
      <w:pPr>
        <w:pStyle w:val="BodyText"/>
        <w:rPr>
          <w:rFonts w:ascii="Cambria" w:hAnsi="Cambria"/>
          <w:sz w:val="20"/>
        </w:rPr>
      </w:pPr>
      <w:r w:rsidRPr="006B78EE">
        <w:rPr>
          <w:rFonts w:ascii="Cambria" w:hAnsi="Cambria"/>
          <w:sz w:val="20"/>
        </w:rPr>
        <w:t>1. Newcastle Medical School</w:t>
      </w:r>
      <w:r>
        <w:rPr>
          <w:rFonts w:ascii="Cambria" w:hAnsi="Cambria"/>
          <w:sz w:val="20"/>
        </w:rPr>
        <w:t>, UK</w:t>
      </w:r>
      <w:r w:rsidRPr="006B78EE">
        <w:rPr>
          <w:rFonts w:ascii="Cambria" w:hAnsi="Cambria"/>
          <w:sz w:val="20"/>
        </w:rPr>
        <w:t xml:space="preserve"> 2. Dept. Immunology &amp; Allergy, Newcastle-Upon-Tyne Hospitals Trust</w:t>
      </w:r>
      <w:r>
        <w:rPr>
          <w:rFonts w:ascii="Cambria" w:hAnsi="Cambria"/>
          <w:sz w:val="20"/>
        </w:rPr>
        <w:t>, UK</w:t>
      </w:r>
    </w:p>
    <w:p w14:paraId="41EE40A7" w14:textId="77777777" w:rsidR="00AE3E37" w:rsidRPr="006B78EE" w:rsidRDefault="00AE3E37">
      <w:pPr>
        <w:pStyle w:val="BodyText"/>
        <w:spacing w:before="3"/>
        <w:rPr>
          <w:rFonts w:ascii="Cambria" w:hAnsi="Cambria"/>
          <w:sz w:val="21"/>
        </w:rPr>
      </w:pPr>
    </w:p>
    <w:p w14:paraId="6C33230D" w14:textId="77777777" w:rsidR="00AE3E37" w:rsidRPr="006B78EE" w:rsidRDefault="00AE3E37">
      <w:pPr>
        <w:rPr>
          <w:rFonts w:ascii="Cambria" w:hAnsi="Cambria"/>
          <w:sz w:val="21"/>
        </w:rPr>
        <w:sectPr w:rsidR="00AE3E37" w:rsidRPr="006B78EE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0D4A881" w14:textId="77777777" w:rsidR="00B45DF3" w:rsidRPr="006B78EE" w:rsidRDefault="00A9710C" w:rsidP="00B45DF3">
      <w:pPr>
        <w:pStyle w:val="Heading3"/>
        <w:spacing w:before="147"/>
        <w:jc w:val="both"/>
        <w:rPr>
          <w:rFonts w:ascii="Cambria" w:hAnsi="Cambria"/>
        </w:rPr>
      </w:pPr>
      <w:r w:rsidRPr="006B78EE">
        <w:rPr>
          <w:rFonts w:ascii="Cambria" w:hAnsi="Cambria"/>
          <w:color w:val="BF5A14"/>
        </w:rPr>
        <w:lastRenderedPageBreak/>
        <w:t>Abstract</w:t>
      </w:r>
      <w:r w:rsidR="00404E5B" w:rsidRPr="006B78EE">
        <w:rPr>
          <w:rFonts w:ascii="Cambria" w:hAnsi="Cambria"/>
          <w:color w:val="BF5A14"/>
        </w:rPr>
        <w:t xml:space="preserve"> (300 word limit)</w:t>
      </w:r>
    </w:p>
    <w:p w14:paraId="79511D39" w14:textId="77777777" w:rsidR="00B45DF3" w:rsidRPr="006B78EE" w:rsidRDefault="00B45DF3" w:rsidP="00B45DF3">
      <w:pPr>
        <w:rPr>
          <w:rFonts w:ascii="Cambria" w:hAnsi="Cambria"/>
        </w:rPr>
      </w:pPr>
      <w:r w:rsidRPr="006B78EE">
        <w:rPr>
          <w:rFonts w:ascii="Cambria" w:hAnsi="Cambria"/>
        </w:rPr>
        <w:t xml:space="preserve">Background </w:t>
      </w:r>
    </w:p>
    <w:p w14:paraId="37DB1509" w14:textId="77777777" w:rsidR="00B45DF3" w:rsidRPr="006B78EE" w:rsidRDefault="00B45DF3" w:rsidP="00B45DF3">
      <w:pPr>
        <w:rPr>
          <w:rFonts w:ascii="Cambria" w:hAnsi="Cambria"/>
        </w:rPr>
      </w:pPr>
    </w:p>
    <w:p w14:paraId="6AC2CCEA" w14:textId="77777777" w:rsidR="00B45DF3" w:rsidRPr="006B78EE" w:rsidRDefault="00B45DF3" w:rsidP="00B45DF3">
      <w:pPr>
        <w:rPr>
          <w:rFonts w:ascii="Cambria" w:hAnsi="Cambria"/>
        </w:rPr>
      </w:pPr>
      <w:r w:rsidRPr="006B78EE">
        <w:rPr>
          <w:rFonts w:ascii="Cambria" w:hAnsi="Cambria"/>
        </w:rPr>
        <w:t xml:space="preserve">Chronic spontaneous urticaria (CSU) is an autoimmune skin disease defined by recurrent hives and angioedema over 6 weeks with no identifiable triggers. Omalizumab, a recombinant humanised monoclonal antibody, is approved by NICE as </w:t>
      </w:r>
      <w:proofErr w:type="gramStart"/>
      <w:r w:rsidRPr="006B78EE">
        <w:rPr>
          <w:rFonts w:ascii="Cambria" w:hAnsi="Cambria"/>
        </w:rPr>
        <w:t>an add</w:t>
      </w:r>
      <w:proofErr w:type="gramEnd"/>
      <w:r w:rsidRPr="006B78EE">
        <w:rPr>
          <w:rFonts w:ascii="Cambria" w:hAnsi="Cambria"/>
        </w:rPr>
        <w:t xml:space="preserve"> on therapy for CSU in patients over 12 years since 2015.</w:t>
      </w:r>
    </w:p>
    <w:p w14:paraId="4E3C1442" w14:textId="77777777" w:rsidR="00B45DF3" w:rsidRPr="006B78EE" w:rsidRDefault="00B45DF3" w:rsidP="00B45DF3">
      <w:pPr>
        <w:rPr>
          <w:rFonts w:ascii="Cambria" w:hAnsi="Cambria"/>
        </w:rPr>
      </w:pPr>
    </w:p>
    <w:p w14:paraId="71E20D5A" w14:textId="77777777" w:rsidR="00B45DF3" w:rsidRPr="006B78EE" w:rsidRDefault="00B45DF3" w:rsidP="00B45DF3">
      <w:pPr>
        <w:tabs>
          <w:tab w:val="left" w:pos="940"/>
          <w:tab w:val="left" w:pos="1440"/>
        </w:tabs>
        <w:autoSpaceDE w:val="0"/>
        <w:autoSpaceDN w:val="0"/>
        <w:adjustRightInd w:val="0"/>
        <w:spacing w:after="240"/>
        <w:rPr>
          <w:rFonts w:ascii="Cambria" w:hAnsi="Cambria" w:cs="Symbol"/>
        </w:rPr>
      </w:pPr>
      <w:r w:rsidRPr="006B78EE">
        <w:rPr>
          <w:rFonts w:ascii="Cambria" w:hAnsi="Cambria" w:cs="Symbol"/>
        </w:rPr>
        <w:t>Objectives</w:t>
      </w:r>
    </w:p>
    <w:p w14:paraId="08272CAF" w14:textId="77777777" w:rsidR="00B45DF3" w:rsidRPr="006B78EE" w:rsidRDefault="00B45DF3" w:rsidP="00B45DF3">
      <w:pPr>
        <w:rPr>
          <w:rFonts w:ascii="Cambria" w:hAnsi="Cambria"/>
        </w:rPr>
      </w:pPr>
      <w:r w:rsidRPr="006B78EE">
        <w:rPr>
          <w:rFonts w:ascii="Cambria" w:hAnsi="Cambria"/>
        </w:rPr>
        <w:t xml:space="preserve">To examine how Omalizumab treatment for </w:t>
      </w:r>
      <w:r w:rsidR="00BB652C" w:rsidRPr="006B78EE">
        <w:rPr>
          <w:rFonts w:ascii="Cambria" w:hAnsi="Cambria"/>
        </w:rPr>
        <w:t>CSU</w:t>
      </w:r>
      <w:r w:rsidRPr="006B78EE">
        <w:rPr>
          <w:rFonts w:ascii="Cambria" w:hAnsi="Cambria"/>
        </w:rPr>
        <w:t xml:space="preserve"> meets standards set by NICE guidelines TA339.</w:t>
      </w:r>
    </w:p>
    <w:p w14:paraId="61E9FA22" w14:textId="77777777" w:rsidR="00B45DF3" w:rsidRPr="006B78EE" w:rsidRDefault="00B45DF3" w:rsidP="00B45DF3">
      <w:pPr>
        <w:rPr>
          <w:rFonts w:ascii="Cambria" w:hAnsi="Cambria"/>
        </w:rPr>
      </w:pPr>
    </w:p>
    <w:p w14:paraId="682DCBE8" w14:textId="77777777" w:rsidR="00B45DF3" w:rsidRPr="006B78EE" w:rsidRDefault="00B45DF3" w:rsidP="00B45DF3">
      <w:pPr>
        <w:tabs>
          <w:tab w:val="left" w:pos="940"/>
          <w:tab w:val="left" w:pos="1440"/>
        </w:tabs>
        <w:autoSpaceDE w:val="0"/>
        <w:autoSpaceDN w:val="0"/>
        <w:adjustRightInd w:val="0"/>
        <w:spacing w:after="240"/>
        <w:rPr>
          <w:rFonts w:ascii="Cambria" w:hAnsi="Cambria" w:cs="Symbol"/>
        </w:rPr>
      </w:pPr>
      <w:r w:rsidRPr="006B78EE">
        <w:rPr>
          <w:rFonts w:ascii="Cambria" w:hAnsi="Cambria" w:cs="Symbol"/>
        </w:rPr>
        <w:t>Method</w:t>
      </w:r>
    </w:p>
    <w:p w14:paraId="3FF47027" w14:textId="77777777" w:rsidR="00B45DF3" w:rsidRPr="006B78EE" w:rsidRDefault="00B45DF3" w:rsidP="00B45DF3">
      <w:pPr>
        <w:tabs>
          <w:tab w:val="left" w:pos="940"/>
          <w:tab w:val="left" w:pos="1440"/>
        </w:tabs>
        <w:autoSpaceDE w:val="0"/>
        <w:autoSpaceDN w:val="0"/>
        <w:adjustRightInd w:val="0"/>
        <w:spacing w:after="240"/>
        <w:rPr>
          <w:rFonts w:ascii="Cambria" w:hAnsi="Cambria" w:cs="Symbol"/>
        </w:rPr>
      </w:pPr>
      <w:r w:rsidRPr="006B78EE">
        <w:rPr>
          <w:rFonts w:ascii="Cambria" w:hAnsi="Cambria"/>
        </w:rPr>
        <w:t xml:space="preserve">A retrospective study of 37 patients who commenced their first course of six monthly subcutaneous injections between </w:t>
      </w:r>
      <w:proofErr w:type="gramStart"/>
      <w:r w:rsidRPr="006B78EE">
        <w:rPr>
          <w:rFonts w:ascii="Cambria" w:hAnsi="Cambria"/>
        </w:rPr>
        <w:t>July</w:t>
      </w:r>
      <w:proofErr w:type="gramEnd"/>
      <w:r w:rsidRPr="006B78EE">
        <w:rPr>
          <w:rFonts w:ascii="Cambria" w:hAnsi="Cambria"/>
        </w:rPr>
        <w:t xml:space="preserve"> 2015-January 2017 at the Regional Immunology and Allergy Unit, Newcastle-Upon-Tyne Hospitals Trust were identified on the department database. 9 patients who have not completed 6 doses were excluded from the treatment part of the analysis.</w:t>
      </w:r>
    </w:p>
    <w:p w14:paraId="1F7F5F16" w14:textId="77777777" w:rsidR="00B45DF3" w:rsidRPr="006B78EE" w:rsidRDefault="00B45DF3" w:rsidP="00B45DF3">
      <w:pPr>
        <w:tabs>
          <w:tab w:val="left" w:pos="940"/>
          <w:tab w:val="left" w:pos="1440"/>
        </w:tabs>
        <w:autoSpaceDE w:val="0"/>
        <w:autoSpaceDN w:val="0"/>
        <w:adjustRightInd w:val="0"/>
        <w:spacing w:after="240"/>
        <w:rPr>
          <w:rFonts w:ascii="Cambria" w:hAnsi="Cambria" w:cs="Symbol"/>
        </w:rPr>
      </w:pPr>
      <w:r w:rsidRPr="006B78EE">
        <w:rPr>
          <w:rFonts w:ascii="Cambria" w:hAnsi="Cambria" w:cs="Symbol"/>
        </w:rPr>
        <w:t>Results</w:t>
      </w:r>
    </w:p>
    <w:p w14:paraId="746F9D70" w14:textId="77777777" w:rsidR="00B45DF3" w:rsidRPr="006B78EE" w:rsidRDefault="00B45DF3" w:rsidP="00B45DF3">
      <w:pPr>
        <w:rPr>
          <w:rFonts w:ascii="Cambria" w:hAnsi="Cambria"/>
        </w:rPr>
      </w:pPr>
      <w:r w:rsidRPr="006B78EE">
        <w:rPr>
          <w:rFonts w:ascii="Cambria" w:hAnsi="Cambria"/>
        </w:rPr>
        <w:t xml:space="preserve">Of the 37 patients (age range 19-82, average 48, Female/Male: 33:4) 100% have </w:t>
      </w:r>
      <w:r w:rsidRPr="006B78EE">
        <w:rPr>
          <w:rFonts w:ascii="Cambria" w:hAnsi="Cambria"/>
          <w:bCs/>
        </w:rPr>
        <w:t xml:space="preserve">no response to antihistamine and montelukast </w:t>
      </w:r>
      <w:r w:rsidRPr="006B78EE">
        <w:rPr>
          <w:rFonts w:ascii="Cambria" w:hAnsi="Cambria"/>
        </w:rPr>
        <w:t>documented</w:t>
      </w:r>
      <w:r w:rsidRPr="006B78EE">
        <w:rPr>
          <w:rFonts w:ascii="Cambria" w:hAnsi="Cambria"/>
          <w:bCs/>
        </w:rPr>
        <w:t xml:space="preserve"> and </w:t>
      </w:r>
      <w:r w:rsidRPr="006B78EE">
        <w:rPr>
          <w:rFonts w:ascii="Cambria" w:hAnsi="Cambria"/>
        </w:rPr>
        <w:t>87% have a significant objective score &gt;28 completed. Of the 36% who did not respond to treatment at the 4</w:t>
      </w:r>
      <w:r w:rsidRPr="006B78EE">
        <w:rPr>
          <w:rFonts w:ascii="Cambria" w:hAnsi="Cambria"/>
          <w:vertAlign w:val="superscript"/>
        </w:rPr>
        <w:t>th</w:t>
      </w:r>
      <w:r w:rsidRPr="006B78EE">
        <w:rPr>
          <w:rFonts w:ascii="Cambria" w:hAnsi="Cambria"/>
        </w:rPr>
        <w:t xml:space="preserve"> dose- 20</w:t>
      </w:r>
      <w:r w:rsidRPr="006B78EE">
        <w:rPr>
          <w:rFonts w:ascii="Cambria" w:hAnsi="Cambria"/>
          <w:bCs/>
        </w:rPr>
        <w:t>% stopped treatment appropriately, 50% did not stop treatment, 20% were not recorded and</w:t>
      </w:r>
      <w:r w:rsidRPr="006B78EE">
        <w:rPr>
          <w:rFonts w:ascii="Cambria" w:hAnsi="Cambria"/>
        </w:rPr>
        <w:t xml:space="preserve"> 10% stopped from adverse reactions. Of those who continued to finish 6 doses </w:t>
      </w:r>
      <w:r w:rsidRPr="006B78EE">
        <w:rPr>
          <w:rFonts w:ascii="Cambria" w:hAnsi="Cambria"/>
          <w:bCs/>
        </w:rPr>
        <w:t xml:space="preserve">80% stopped while 20% </w:t>
      </w:r>
      <w:r w:rsidRPr="006B78EE">
        <w:rPr>
          <w:rFonts w:ascii="Cambria" w:hAnsi="Cambria"/>
        </w:rPr>
        <w:t xml:space="preserve">did not stop. </w:t>
      </w:r>
    </w:p>
    <w:p w14:paraId="78F7D8B5" w14:textId="77777777" w:rsidR="00B45DF3" w:rsidRPr="006B78EE" w:rsidRDefault="00B45DF3" w:rsidP="00B45DF3">
      <w:pPr>
        <w:rPr>
          <w:rFonts w:ascii="Cambria" w:hAnsi="Cambria"/>
        </w:rPr>
      </w:pPr>
    </w:p>
    <w:p w14:paraId="57417DE1" w14:textId="77777777" w:rsidR="00B45DF3" w:rsidRPr="006B78EE" w:rsidRDefault="00B45DF3" w:rsidP="00B45DF3">
      <w:pPr>
        <w:tabs>
          <w:tab w:val="left" w:pos="940"/>
          <w:tab w:val="left" w:pos="1440"/>
        </w:tabs>
        <w:autoSpaceDE w:val="0"/>
        <w:autoSpaceDN w:val="0"/>
        <w:adjustRightInd w:val="0"/>
        <w:spacing w:after="240"/>
        <w:rPr>
          <w:rFonts w:ascii="Cambria" w:hAnsi="Cambria" w:cs="Symbol"/>
        </w:rPr>
      </w:pPr>
      <w:r w:rsidRPr="006B78EE">
        <w:rPr>
          <w:rFonts w:ascii="Cambria" w:hAnsi="Cambria" w:cs="Symbol"/>
        </w:rPr>
        <w:t>Conclusion</w:t>
      </w:r>
    </w:p>
    <w:p w14:paraId="068710C3" w14:textId="77777777" w:rsidR="00B45DF3" w:rsidRPr="006B78EE" w:rsidRDefault="00B45DF3" w:rsidP="00B45DF3">
      <w:pPr>
        <w:rPr>
          <w:rFonts w:ascii="Cambria" w:hAnsi="Cambria"/>
        </w:rPr>
      </w:pPr>
      <w:r w:rsidRPr="006B78EE">
        <w:rPr>
          <w:rFonts w:ascii="Cambria" w:hAnsi="Cambria"/>
        </w:rPr>
        <w:t>Pre injection standards and treatment stopped after 6 doses were met well. Non-responders did not stop treatment after the 4</w:t>
      </w:r>
      <w:r w:rsidRPr="006B78EE">
        <w:rPr>
          <w:rFonts w:ascii="Cambria" w:hAnsi="Cambria"/>
          <w:vertAlign w:val="superscript"/>
        </w:rPr>
        <w:t>th</w:t>
      </w:r>
      <w:r w:rsidRPr="006B78EE">
        <w:rPr>
          <w:rFonts w:ascii="Cambria" w:hAnsi="Cambria"/>
        </w:rPr>
        <w:t xml:space="preserve"> dose due to adjustments made to disease flares, other immunosuppressant medications taken during treatment and extended gaps between doses. Recommendations discussed include • Implement a compulsory form to improve collection of patient’s responses after 4th and 6th doses and reasons </w:t>
      </w:r>
      <w:r w:rsidRPr="006B78EE">
        <w:rPr>
          <w:rFonts w:ascii="Cambria" w:hAnsi="Cambria"/>
        </w:rPr>
        <w:lastRenderedPageBreak/>
        <w:t xml:space="preserve">for deviating from the guidelines. • Integrate Florence Telemedicines into a collective database to use in treatment review and send patients text alerts. •Promote patient education and tighter appointment scheduling to avoid long gaps in between doses. • Improve guidance for staff to document UAS7 </w:t>
      </w:r>
    </w:p>
    <w:p w14:paraId="069AAB29" w14:textId="77777777" w:rsidR="00AE3E37" w:rsidRPr="006B78EE" w:rsidRDefault="00A9710C">
      <w:pPr>
        <w:pStyle w:val="Heading3"/>
        <w:spacing w:before="74"/>
        <w:rPr>
          <w:rFonts w:ascii="Cambria" w:hAnsi="Cambria"/>
        </w:rPr>
      </w:pPr>
      <w:r w:rsidRPr="006B78EE">
        <w:rPr>
          <w:rFonts w:ascii="Cambria" w:hAnsi="Cambria"/>
          <w:b w:val="0"/>
        </w:rPr>
        <w:br w:type="column"/>
      </w:r>
      <w:r w:rsidRPr="006B78EE">
        <w:rPr>
          <w:rFonts w:ascii="Cambria" w:hAnsi="Cambria"/>
          <w:color w:val="BF5A14"/>
        </w:rPr>
        <w:lastRenderedPageBreak/>
        <w:t>Image</w:t>
      </w:r>
    </w:p>
    <w:p w14:paraId="76A4FEB6" w14:textId="77777777" w:rsidR="00AE3E37" w:rsidRPr="006B78EE" w:rsidRDefault="00AE3E37">
      <w:pPr>
        <w:pStyle w:val="BodyText"/>
        <w:spacing w:before="2"/>
        <w:rPr>
          <w:rFonts w:ascii="Cambria" w:hAnsi="Cambria"/>
          <w:b/>
          <w:sz w:val="16"/>
        </w:rPr>
      </w:pPr>
    </w:p>
    <w:p w14:paraId="32CC7C83" w14:textId="77777777" w:rsidR="005973B9" w:rsidRPr="006B78EE" w:rsidRDefault="005973B9" w:rsidP="005973B9">
      <w:pPr>
        <w:spacing w:line="204" w:lineRule="exact"/>
        <w:rPr>
          <w:rFonts w:ascii="Cambria" w:hAnsi="Cambria"/>
          <w:b/>
          <w:sz w:val="20"/>
        </w:rPr>
      </w:pPr>
      <w:r w:rsidRPr="006B78EE">
        <w:rPr>
          <w:rFonts w:ascii="Cambria" w:hAnsi="Cambria"/>
          <w:b/>
          <w:color w:val="BF5A14"/>
          <w:sz w:val="20"/>
        </w:rPr>
        <w:br/>
      </w:r>
      <w:r w:rsidRPr="006B78EE">
        <w:rPr>
          <w:rFonts w:ascii="Cambria" w:hAnsi="Cambria"/>
          <w:b/>
          <w:color w:val="BF5A14"/>
          <w:sz w:val="20"/>
        </w:rPr>
        <w:lastRenderedPageBreak/>
        <w:t>Recent Publications (minimum 5)</w:t>
      </w:r>
    </w:p>
    <w:p w14:paraId="69D172BF" w14:textId="77777777" w:rsidR="00AE3E37" w:rsidRPr="006B78EE" w:rsidRDefault="00AE3E37" w:rsidP="008756E6">
      <w:pPr>
        <w:tabs>
          <w:tab w:val="left" w:pos="384"/>
        </w:tabs>
        <w:ind w:right="117"/>
        <w:rPr>
          <w:rFonts w:ascii="Cambria" w:hAnsi="Cambria"/>
        </w:rPr>
      </w:pPr>
    </w:p>
    <w:p w14:paraId="232BFC54" w14:textId="77777777" w:rsidR="00AE3E37" w:rsidRPr="006B78EE" w:rsidRDefault="008756E6">
      <w:pPr>
        <w:spacing w:line="200" w:lineRule="exact"/>
        <w:jc w:val="both"/>
        <w:rPr>
          <w:rFonts w:ascii="Cambria" w:hAnsi="Cambria"/>
        </w:rPr>
        <w:sectPr w:rsidR="00AE3E37" w:rsidRPr="006B78E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6B78EE">
        <w:rPr>
          <w:rFonts w:ascii="Cambria" w:hAnsi="Cambria"/>
        </w:rPr>
        <w:t xml:space="preserve">   </w:t>
      </w:r>
    </w:p>
    <w:p w14:paraId="697BEE6A" w14:textId="77777777" w:rsidR="00AE3E37" w:rsidRPr="006B78EE" w:rsidRDefault="00AE3E37">
      <w:pPr>
        <w:pStyle w:val="BodyText"/>
        <w:rPr>
          <w:rFonts w:ascii="Cambria" w:hAnsi="Cambria"/>
          <w:sz w:val="20"/>
        </w:rPr>
      </w:pPr>
    </w:p>
    <w:p w14:paraId="527658C9" w14:textId="77777777" w:rsidR="00AE3E37" w:rsidRPr="006B78EE" w:rsidRDefault="00292ED9">
      <w:pPr>
        <w:pStyle w:val="BodyText"/>
        <w:spacing w:line="40" w:lineRule="exact"/>
        <w:ind w:left="2202"/>
        <w:rPr>
          <w:rFonts w:ascii="Cambria" w:hAnsi="Cambria"/>
          <w:sz w:val="4"/>
        </w:rPr>
      </w:pPr>
      <w:r w:rsidRPr="006B78EE">
        <w:rPr>
          <w:rFonts w:ascii="Cambria" w:hAnsi="Cambria"/>
          <w:noProof/>
          <w:sz w:val="4"/>
        </w:rPr>
        <mc:AlternateContent>
          <mc:Choice Requires="wpg">
            <w:drawing>
              <wp:inline distT="0" distB="0" distL="0" distR="0" wp14:anchorId="60EF1240" wp14:editId="4E9C131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2DEA285" w14:textId="520D9425" w:rsidR="00082A29" w:rsidRPr="00082A29" w:rsidRDefault="008756E6" w:rsidP="00404E5B">
      <w:pPr>
        <w:spacing w:before="92"/>
        <w:ind w:right="4234"/>
        <w:rPr>
          <w:rFonts w:ascii="Cambria" w:hAnsi="Cambria"/>
          <w:color w:val="BF5A14"/>
        </w:rPr>
      </w:pPr>
      <w:r w:rsidRPr="006B78EE">
        <w:rPr>
          <w:rFonts w:ascii="Cambria" w:hAnsi="Cambria"/>
          <w:noProof/>
        </w:rPr>
        <w:t xml:space="preserve">              </w:t>
      </w:r>
      <w:r w:rsidRPr="006B78EE">
        <w:rPr>
          <w:rFonts w:ascii="Cambria" w:hAnsi="Cambria"/>
          <w:noProof/>
        </w:rPr>
        <w:drawing>
          <wp:inline distT="0" distB="0" distL="0" distR="0" wp14:anchorId="549449A4" wp14:editId="57DA09F2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6B78EE">
        <w:rPr>
          <w:rFonts w:ascii="Cambria" w:hAnsi="Cambria"/>
          <w:color w:val="BF5A14"/>
        </w:rPr>
        <w:t>Biography</w:t>
      </w:r>
      <w:r w:rsidR="00404E5B" w:rsidRPr="006B78EE">
        <w:rPr>
          <w:rFonts w:ascii="Cambria" w:hAnsi="Cambria"/>
          <w:color w:val="BF5A14"/>
        </w:rPr>
        <w:t xml:space="preserve"> (150 word limit)</w:t>
      </w:r>
    </w:p>
    <w:p w14:paraId="6DF92262" w14:textId="0020A1AE" w:rsidR="00082A29" w:rsidRDefault="00082A29">
      <w:pPr>
        <w:spacing w:before="62"/>
        <w:ind w:left="4217" w:right="4235"/>
        <w:jc w:val="center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Tiffany Lau</w:t>
      </w:r>
      <w:bookmarkStart w:id="0" w:name="_GoBack"/>
      <w:bookmarkEnd w:id="0"/>
      <w:r>
        <w:rPr>
          <w:rFonts w:ascii="Cambria" w:hAnsi="Cambria"/>
          <w:sz w:val="14"/>
        </w:rPr>
        <w:t xml:space="preserve"> is a fourth year medical student at Newcastle University with a keen interest in clinical immunology and allergy.</w:t>
      </w:r>
    </w:p>
    <w:p w14:paraId="204EFBAA" w14:textId="77777777" w:rsidR="00AE3E37" w:rsidRPr="006B78EE" w:rsidRDefault="00A9710C">
      <w:pPr>
        <w:spacing w:before="62"/>
        <w:ind w:left="4217" w:right="4235"/>
        <w:jc w:val="center"/>
        <w:rPr>
          <w:rFonts w:ascii="Cambria" w:hAnsi="Cambria"/>
          <w:sz w:val="14"/>
        </w:rPr>
      </w:pPr>
      <w:r w:rsidRPr="006B78EE">
        <w:rPr>
          <w:rFonts w:ascii="Cambria" w:hAnsi="Cambria"/>
          <w:sz w:val="14"/>
        </w:rPr>
        <w:t xml:space="preserve">Email: </w:t>
      </w:r>
      <w:hyperlink r:id="rId11" w:history="1">
        <w:r w:rsidR="00BB652C" w:rsidRPr="006B78EE">
          <w:rPr>
            <w:rStyle w:val="Hyperlink"/>
            <w:rFonts w:ascii="Cambria" w:hAnsi="Cambria"/>
            <w:sz w:val="14"/>
          </w:rPr>
          <w:t>t.lau@newcastle.ac.uk</w:t>
        </w:r>
      </w:hyperlink>
    </w:p>
    <w:p w14:paraId="1119775C" w14:textId="77777777" w:rsidR="00AE3E37" w:rsidRPr="006B78EE" w:rsidRDefault="00292ED9">
      <w:pPr>
        <w:pStyle w:val="BodyText"/>
        <w:spacing w:before="2"/>
        <w:rPr>
          <w:rFonts w:ascii="Cambria" w:hAnsi="Cambria"/>
          <w:sz w:val="19"/>
        </w:rPr>
      </w:pPr>
      <w:r w:rsidRPr="006B78EE">
        <w:rPr>
          <w:rFonts w:ascii="Cambria" w:hAnsi="Cambria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2BC5BEF" wp14:editId="6F1FC38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904CCA8" w14:textId="77777777" w:rsidR="00AE3E37" w:rsidRPr="006B78EE" w:rsidRDefault="00AE3E37">
      <w:pPr>
        <w:pStyle w:val="BodyText"/>
        <w:rPr>
          <w:rFonts w:ascii="Cambria" w:hAnsi="Cambria"/>
          <w:sz w:val="20"/>
        </w:rPr>
      </w:pPr>
    </w:p>
    <w:p w14:paraId="682C0067" w14:textId="77777777" w:rsidR="00AE3E37" w:rsidRPr="006B78EE" w:rsidRDefault="00AE3E37">
      <w:pPr>
        <w:pStyle w:val="BodyText"/>
        <w:rPr>
          <w:rFonts w:ascii="Cambria" w:hAnsi="Cambria"/>
          <w:sz w:val="20"/>
        </w:rPr>
      </w:pPr>
    </w:p>
    <w:p w14:paraId="7B18522C" w14:textId="77777777" w:rsidR="00AE3E37" w:rsidRPr="006B78EE" w:rsidRDefault="00AE3E37">
      <w:pPr>
        <w:pStyle w:val="BodyText"/>
        <w:spacing w:before="7"/>
        <w:rPr>
          <w:rFonts w:ascii="Cambria" w:hAnsi="Cambria"/>
          <w:sz w:val="29"/>
        </w:rPr>
      </w:pPr>
    </w:p>
    <w:p w14:paraId="6F154B42" w14:textId="77777777" w:rsidR="00AE3E37" w:rsidRPr="006B78EE" w:rsidRDefault="00A9710C">
      <w:pPr>
        <w:spacing w:before="39"/>
        <w:ind w:left="100"/>
        <w:rPr>
          <w:rFonts w:ascii="Cambria" w:hAnsi="Cambria"/>
          <w:b/>
          <w:sz w:val="20"/>
        </w:rPr>
      </w:pPr>
      <w:r w:rsidRPr="006B78EE">
        <w:rPr>
          <w:rFonts w:ascii="Cambria" w:hAnsi="Cambria"/>
          <w:b/>
          <w:sz w:val="20"/>
        </w:rPr>
        <w:t>Notes/Comments:</w:t>
      </w:r>
    </w:p>
    <w:p w14:paraId="1EF504C3" w14:textId="77777777" w:rsidR="00AE3E37" w:rsidRPr="006B78EE" w:rsidRDefault="00AE3E37">
      <w:pPr>
        <w:rPr>
          <w:rFonts w:ascii="Cambria" w:hAnsi="Cambria"/>
          <w:sz w:val="24"/>
        </w:rPr>
        <w:sectPr w:rsidR="00AE3E37" w:rsidRPr="006B78E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8C461F7" w14:textId="77777777" w:rsidR="00AE3E37" w:rsidRPr="006B78EE" w:rsidRDefault="00AE3E37">
      <w:pPr>
        <w:pStyle w:val="BodyText"/>
        <w:spacing w:before="3"/>
        <w:rPr>
          <w:rFonts w:ascii="Cambria" w:hAnsi="Cambria"/>
          <w:sz w:val="26"/>
        </w:rPr>
      </w:pPr>
    </w:p>
    <w:sectPr w:rsidR="00AE3E37" w:rsidRPr="006B78E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2CF85" w14:textId="77777777" w:rsidR="00B45DF3" w:rsidRDefault="00B45DF3">
      <w:r>
        <w:separator/>
      </w:r>
    </w:p>
  </w:endnote>
  <w:endnote w:type="continuationSeparator" w:id="0">
    <w:p w14:paraId="03FDF7E9" w14:textId="77777777" w:rsidR="00B45DF3" w:rsidRDefault="00B4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CEDE7" w14:textId="77777777" w:rsidR="00B45DF3" w:rsidRDefault="00B45DF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4A34BD6" wp14:editId="57A10BE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053AA" w14:textId="77777777" w:rsidR="00B45DF3" w:rsidRPr="005B3A56" w:rsidRDefault="00B45DF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916963F" w14:textId="77777777" w:rsidR="00B45DF3" w:rsidRPr="005B3A56" w:rsidRDefault="00B45DF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853BCB2" wp14:editId="1F7ACF9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A365A9" w14:textId="77777777" w:rsidR="00B45DF3" w:rsidRPr="005B3A56" w:rsidRDefault="00B45DF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C7FC369" w14:textId="77777777" w:rsidR="00B45DF3" w:rsidRPr="005B3A56" w:rsidRDefault="00B45DF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57A5594" wp14:editId="0131EF6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984120" w14:textId="77777777" w:rsidR="00B45DF3" w:rsidRPr="005B3A56" w:rsidRDefault="00B45DF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9074A2E" w14:textId="77777777" w:rsidR="00B45DF3" w:rsidRPr="005B3A56" w:rsidRDefault="00B45DF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DEF5C" w14:textId="77777777" w:rsidR="00B45DF3" w:rsidRDefault="00B45DF3">
      <w:r>
        <w:separator/>
      </w:r>
    </w:p>
  </w:footnote>
  <w:footnote w:type="continuationSeparator" w:id="0">
    <w:p w14:paraId="7D55C66C" w14:textId="77777777" w:rsidR="00B45DF3" w:rsidRDefault="00B45DF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BC8CA6" w14:textId="77777777" w:rsidR="00B45DF3" w:rsidRDefault="00B45DF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F51D168" wp14:editId="30DB71A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BAE835" w14:textId="77777777" w:rsidR="00B45DF3" w:rsidRPr="005B3A56" w:rsidRDefault="00B45DF3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DA4CD17" wp14:editId="665CE3F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C16C9F" w14:textId="77777777" w:rsidR="00B45DF3" w:rsidRPr="005B3A56" w:rsidRDefault="00B45DF3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470CCE6" w14:textId="77777777" w:rsidR="00B45DF3" w:rsidRPr="005B3A56" w:rsidRDefault="00B45DF3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2A29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B78EE"/>
    <w:rsid w:val="00873DF0"/>
    <w:rsid w:val="008756E6"/>
    <w:rsid w:val="009B2D44"/>
    <w:rsid w:val="00A07E82"/>
    <w:rsid w:val="00A9710C"/>
    <w:rsid w:val="00AE3E37"/>
    <w:rsid w:val="00B21A57"/>
    <w:rsid w:val="00B45DF3"/>
    <w:rsid w:val="00BB652C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CF524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XXXXXXX@xxx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379</Words>
  <Characters>2161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Tiffany Lau</cp:lastModifiedBy>
  <cp:revision>8</cp:revision>
  <dcterms:created xsi:type="dcterms:W3CDTF">2016-08-31T10:27:00Z</dcterms:created>
  <dcterms:modified xsi:type="dcterms:W3CDTF">2017-03-15T14:57:00Z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