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BACCFD" w14:textId="4405EA1A" w:rsidR="00775BB8" w:rsidRDefault="00775BB8" w:rsidP="00775BB8">
      <w:pPr>
        <w:jc w:val="both"/>
        <w:rPr>
          <w:b/>
          <w:bCs/>
          <w:i/>
          <w:iCs/>
          <w:noProof/>
          <w:sz w:val="28"/>
          <w:szCs w:val="40"/>
        </w:rPr>
      </w:pPr>
      <w:r>
        <w:rPr>
          <w:b/>
          <w:bCs/>
          <w:noProof/>
          <w:sz w:val="28"/>
          <w:szCs w:val="40"/>
        </w:rPr>
        <w:t>Impact of sequential</w:t>
      </w:r>
      <w:r w:rsidRPr="00F40636">
        <w:rPr>
          <w:b/>
          <w:bCs/>
          <w:noProof/>
          <w:sz w:val="28"/>
          <w:szCs w:val="40"/>
        </w:rPr>
        <w:t xml:space="preserve"> </w:t>
      </w:r>
      <w:r>
        <w:rPr>
          <w:b/>
          <w:bCs/>
          <w:noProof/>
          <w:sz w:val="28"/>
          <w:szCs w:val="40"/>
        </w:rPr>
        <w:t xml:space="preserve">above and belowground herbivory </w:t>
      </w:r>
      <w:r w:rsidRPr="00812238">
        <w:rPr>
          <w:b/>
          <w:bCs/>
          <w:noProof/>
          <w:sz w:val="28"/>
          <w:szCs w:val="40"/>
        </w:rPr>
        <w:t>on</w:t>
      </w:r>
      <w:r w:rsidRPr="00F40636">
        <w:rPr>
          <w:b/>
          <w:bCs/>
          <w:noProof/>
          <w:sz w:val="28"/>
          <w:szCs w:val="40"/>
        </w:rPr>
        <w:t xml:space="preserve"> </w:t>
      </w:r>
      <w:r>
        <w:rPr>
          <w:b/>
          <w:bCs/>
          <w:noProof/>
          <w:sz w:val="28"/>
          <w:szCs w:val="40"/>
        </w:rPr>
        <w:t xml:space="preserve">performance of </w:t>
      </w:r>
      <w:r w:rsidRPr="008C0214">
        <w:rPr>
          <w:b/>
          <w:bCs/>
          <w:i/>
          <w:iCs/>
          <w:noProof/>
          <w:sz w:val="28"/>
          <w:szCs w:val="40"/>
        </w:rPr>
        <w:t xml:space="preserve">Delia </w:t>
      </w:r>
      <w:r w:rsidRPr="009C1DB4">
        <w:rPr>
          <w:b/>
          <w:bCs/>
          <w:i/>
          <w:iCs/>
          <w:noProof/>
          <w:sz w:val="28"/>
          <w:szCs w:val="40"/>
        </w:rPr>
        <w:t>radicum</w:t>
      </w:r>
      <w:r>
        <w:rPr>
          <w:b/>
          <w:bCs/>
          <w:noProof/>
          <w:sz w:val="28"/>
          <w:szCs w:val="40"/>
        </w:rPr>
        <w:t xml:space="preserve">, glucosinolates </w:t>
      </w:r>
      <w:r w:rsidRPr="00F40636">
        <w:rPr>
          <w:b/>
          <w:bCs/>
          <w:noProof/>
          <w:sz w:val="28"/>
          <w:szCs w:val="40"/>
        </w:rPr>
        <w:t xml:space="preserve">and </w:t>
      </w:r>
      <w:r>
        <w:rPr>
          <w:b/>
          <w:bCs/>
          <w:noProof/>
          <w:sz w:val="28"/>
          <w:szCs w:val="40"/>
        </w:rPr>
        <w:t>primary</w:t>
      </w:r>
      <w:r w:rsidRPr="00F40636">
        <w:rPr>
          <w:b/>
          <w:bCs/>
          <w:noProof/>
          <w:sz w:val="28"/>
          <w:szCs w:val="40"/>
        </w:rPr>
        <w:t xml:space="preserve">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>metabolites</w:t>
      </w:r>
      <w:r w:rsidRPr="00F40636">
        <w:rPr>
          <w:b/>
          <w:bCs/>
          <w:noProof/>
          <w:sz w:val="28"/>
          <w:szCs w:val="40"/>
        </w:rPr>
        <w:t xml:space="preserve"> </w:t>
      </w:r>
      <w:r>
        <w:rPr>
          <w:b/>
          <w:bCs/>
          <w:noProof/>
          <w:sz w:val="28"/>
          <w:szCs w:val="40"/>
        </w:rPr>
        <w:t xml:space="preserve">level in root tissues of </w:t>
      </w:r>
      <w:r>
        <w:rPr>
          <w:b/>
          <w:bCs/>
          <w:i/>
          <w:iCs/>
          <w:noProof/>
          <w:sz w:val="28"/>
          <w:szCs w:val="40"/>
        </w:rPr>
        <w:t xml:space="preserve">Brassica oleracea </w:t>
      </w:r>
      <w:r w:rsidRPr="00525610">
        <w:rPr>
          <w:b/>
          <w:bCs/>
          <w:noProof/>
          <w:sz w:val="28"/>
          <w:szCs w:val="40"/>
        </w:rPr>
        <w:t>var</w:t>
      </w:r>
      <w:r>
        <w:rPr>
          <w:b/>
          <w:bCs/>
          <w:noProof/>
          <w:sz w:val="28"/>
          <w:szCs w:val="40"/>
        </w:rPr>
        <w:t>.</w:t>
      </w:r>
      <w:r>
        <w:rPr>
          <w:b/>
          <w:bCs/>
          <w:i/>
          <w:iCs/>
          <w:noProof/>
          <w:sz w:val="28"/>
          <w:szCs w:val="40"/>
        </w:rPr>
        <w:t xml:space="preserve"> </w:t>
      </w:r>
      <w:r w:rsidRPr="009C1DB4">
        <w:rPr>
          <w:b/>
          <w:bCs/>
          <w:i/>
          <w:iCs/>
          <w:noProof/>
          <w:sz w:val="28"/>
          <w:szCs w:val="40"/>
        </w:rPr>
        <w:t>gemmifera</w:t>
      </w:r>
    </w:p>
    <w:p w14:paraId="37777434" w14:textId="5EB632C9" w:rsidR="00775BB8" w:rsidRPr="00775BB8" w:rsidRDefault="00775BB8" w:rsidP="00775BB8">
      <w:pPr>
        <w:tabs>
          <w:tab w:val="left" w:pos="2835"/>
          <w:tab w:val="right" w:leader="dot" w:pos="7938"/>
        </w:tabs>
        <w:spacing w:after="0" w:line="360" w:lineRule="auto"/>
        <w:jc w:val="center"/>
        <w:rPr>
          <w:rFonts w:eastAsia="Times New Roman" w:cstheme="minorHAnsi"/>
          <w:sz w:val="24"/>
          <w:szCs w:val="24"/>
        </w:rPr>
      </w:pPr>
      <w:r w:rsidRPr="00775BB8">
        <w:rPr>
          <w:rFonts w:eastAsia="Times New Roman" w:cstheme="minorHAnsi"/>
          <w:sz w:val="24"/>
          <w:szCs w:val="24"/>
          <w:vertAlign w:val="superscript"/>
        </w:rPr>
        <w:t>1</w:t>
      </w:r>
      <w:r w:rsidRPr="00775BB8">
        <w:rPr>
          <w:rFonts w:eastAsia="Times New Roman" w:cstheme="minorHAnsi"/>
          <w:sz w:val="24"/>
          <w:szCs w:val="24"/>
        </w:rPr>
        <w:t xml:space="preserve">Toyanath Joshi, </w:t>
      </w:r>
      <w:r w:rsidRPr="00775BB8">
        <w:rPr>
          <w:rFonts w:eastAsia="Times New Roman" w:cstheme="minorHAnsi"/>
          <w:sz w:val="24"/>
          <w:szCs w:val="24"/>
          <w:vertAlign w:val="superscript"/>
        </w:rPr>
        <w:t>2</w:t>
      </w:r>
      <w:r w:rsidRPr="00775BB8">
        <w:rPr>
          <w:rFonts w:eastAsia="Times New Roman" w:cstheme="minorHAnsi"/>
          <w:sz w:val="24"/>
          <w:szCs w:val="24"/>
        </w:rPr>
        <w:t xml:space="preserve">Prof. </w:t>
      </w:r>
      <w:proofErr w:type="spellStart"/>
      <w:r w:rsidRPr="00775BB8">
        <w:rPr>
          <w:rFonts w:eastAsia="Times New Roman" w:cstheme="minorHAnsi"/>
          <w:sz w:val="24"/>
          <w:szCs w:val="24"/>
        </w:rPr>
        <w:t>Joop</w:t>
      </w:r>
      <w:proofErr w:type="spellEnd"/>
      <w:r w:rsidRPr="00775BB8">
        <w:rPr>
          <w:rFonts w:eastAsia="Times New Roman" w:cstheme="minorHAnsi"/>
          <w:sz w:val="24"/>
          <w:szCs w:val="24"/>
        </w:rPr>
        <w:t xml:space="preserve"> van Loon</w:t>
      </w:r>
      <w:r w:rsidRPr="00775BB8">
        <w:rPr>
          <w:rFonts w:eastAsia="Times New Roman" w:cstheme="minorHAnsi"/>
          <w:sz w:val="24"/>
          <w:szCs w:val="24"/>
        </w:rPr>
        <w:t>,</w:t>
      </w:r>
      <w:r w:rsidRPr="00775BB8">
        <w:rPr>
          <w:rFonts w:eastAsia="Times New Roman" w:cstheme="minorHAnsi"/>
          <w:sz w:val="24"/>
          <w:szCs w:val="24"/>
        </w:rPr>
        <w:t xml:space="preserve"> </w:t>
      </w:r>
      <w:r w:rsidRPr="00775BB8">
        <w:rPr>
          <w:rFonts w:eastAsia="Times New Roman" w:cstheme="minorHAnsi"/>
          <w:sz w:val="24"/>
          <w:szCs w:val="24"/>
          <w:vertAlign w:val="superscript"/>
        </w:rPr>
        <w:t>2</w:t>
      </w:r>
      <w:r w:rsidRPr="00775BB8">
        <w:rPr>
          <w:rFonts w:eastAsia="Times New Roman" w:cstheme="minorHAnsi"/>
          <w:sz w:val="24"/>
          <w:szCs w:val="24"/>
        </w:rPr>
        <w:t xml:space="preserve">Peter </w:t>
      </w:r>
      <w:proofErr w:type="spellStart"/>
      <w:r w:rsidRPr="00775BB8">
        <w:rPr>
          <w:rFonts w:eastAsia="Times New Roman" w:cstheme="minorHAnsi"/>
          <w:sz w:val="24"/>
          <w:szCs w:val="24"/>
        </w:rPr>
        <w:t>Karssemeijer</w:t>
      </w:r>
      <w:proofErr w:type="spellEnd"/>
    </w:p>
    <w:p w14:paraId="4453C507" w14:textId="1AC9BF66" w:rsidR="00775BB8" w:rsidRPr="00775BB8" w:rsidRDefault="00775BB8" w:rsidP="00775BB8">
      <w:pPr>
        <w:tabs>
          <w:tab w:val="left" w:pos="2835"/>
          <w:tab w:val="right" w:leader="dot" w:pos="7938"/>
        </w:tabs>
        <w:spacing w:after="0" w:line="360" w:lineRule="auto"/>
        <w:jc w:val="center"/>
        <w:rPr>
          <w:rFonts w:eastAsia="Times New Roman" w:cstheme="minorHAnsi"/>
          <w:sz w:val="24"/>
          <w:szCs w:val="24"/>
        </w:rPr>
      </w:pPr>
      <w:r w:rsidRPr="00775BB8">
        <w:rPr>
          <w:rFonts w:eastAsia="Times New Roman" w:cstheme="minorHAnsi"/>
          <w:sz w:val="24"/>
          <w:szCs w:val="24"/>
          <w:vertAlign w:val="superscript"/>
        </w:rPr>
        <w:t>1</w:t>
      </w:r>
      <w:r w:rsidRPr="00775BB8">
        <w:rPr>
          <w:rFonts w:eastAsia="Times New Roman" w:cstheme="minorHAnsi"/>
          <w:sz w:val="24"/>
          <w:szCs w:val="24"/>
        </w:rPr>
        <w:t xml:space="preserve">Ministry of Agriculture and Livestock Development, </w:t>
      </w:r>
      <w:proofErr w:type="spellStart"/>
      <w:r w:rsidRPr="00775BB8">
        <w:rPr>
          <w:rFonts w:eastAsia="Times New Roman" w:cstheme="minorHAnsi"/>
          <w:sz w:val="24"/>
          <w:szCs w:val="24"/>
        </w:rPr>
        <w:t>Singhadarbar</w:t>
      </w:r>
      <w:proofErr w:type="spellEnd"/>
      <w:r w:rsidRPr="00775BB8">
        <w:rPr>
          <w:rFonts w:eastAsia="Times New Roman" w:cstheme="minorHAnsi"/>
          <w:sz w:val="24"/>
          <w:szCs w:val="24"/>
        </w:rPr>
        <w:t>, Kathmandu, Nepal</w:t>
      </w:r>
    </w:p>
    <w:p w14:paraId="48C05E08" w14:textId="0EC7293B" w:rsidR="00775BB8" w:rsidRDefault="00775BB8" w:rsidP="00775BB8">
      <w:pPr>
        <w:tabs>
          <w:tab w:val="left" w:pos="2835"/>
          <w:tab w:val="right" w:leader="dot" w:pos="7938"/>
        </w:tabs>
        <w:spacing w:after="0" w:line="360" w:lineRule="auto"/>
        <w:jc w:val="center"/>
        <w:rPr>
          <w:rFonts w:eastAsia="Times New Roman" w:cstheme="minorHAnsi"/>
          <w:sz w:val="24"/>
          <w:szCs w:val="24"/>
        </w:rPr>
      </w:pPr>
      <w:r w:rsidRPr="00775BB8">
        <w:rPr>
          <w:rFonts w:eastAsia="Times New Roman" w:cstheme="minorHAnsi"/>
          <w:sz w:val="24"/>
          <w:szCs w:val="24"/>
          <w:vertAlign w:val="superscript"/>
        </w:rPr>
        <w:t>2</w:t>
      </w:r>
      <w:r w:rsidRPr="00775BB8">
        <w:rPr>
          <w:rFonts w:eastAsia="Times New Roman" w:cstheme="minorHAnsi"/>
          <w:sz w:val="24"/>
          <w:szCs w:val="24"/>
        </w:rPr>
        <w:t>Wageningen University &amp; Research, the Netherlands</w:t>
      </w:r>
    </w:p>
    <w:p w14:paraId="0985789B" w14:textId="1D868F1B" w:rsidR="00775BB8" w:rsidRPr="009E6E3E" w:rsidRDefault="00775BB8" w:rsidP="00775BB8">
      <w:pPr>
        <w:tabs>
          <w:tab w:val="left" w:pos="2835"/>
          <w:tab w:val="right" w:leader="dot" w:pos="7938"/>
        </w:tabs>
        <w:spacing w:after="0" w:line="360" w:lineRule="auto"/>
        <w:jc w:val="center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Corresponding author: joshitoyanath@gmail.com</w:t>
      </w:r>
    </w:p>
    <w:p w14:paraId="12841651" w14:textId="77777777" w:rsidR="00775BB8" w:rsidRPr="001F6A68" w:rsidRDefault="00775BB8" w:rsidP="00775BB8">
      <w:pPr>
        <w:pStyle w:val="Heading1"/>
        <w:rPr>
          <w:b/>
          <w:shd w:val="clear" w:color="auto" w:fill="FFFFFF"/>
        </w:rPr>
      </w:pPr>
      <w:bookmarkStart w:id="0" w:name="_Toc532387036"/>
      <w:bookmarkStart w:id="1" w:name="_GoBack"/>
      <w:bookmarkEnd w:id="1"/>
      <w:r w:rsidRPr="001F6A68">
        <w:rPr>
          <w:b/>
          <w:shd w:val="clear" w:color="auto" w:fill="FFFFFF"/>
        </w:rPr>
        <w:t>Abstract</w:t>
      </w:r>
      <w:bookmarkEnd w:id="0"/>
    </w:p>
    <w:p w14:paraId="7058DD37" w14:textId="77777777" w:rsidR="00775BB8" w:rsidRPr="009E6E3E" w:rsidRDefault="00775BB8" w:rsidP="00775BB8">
      <w:pPr>
        <w:jc w:val="both"/>
        <w:rPr>
          <w:rFonts w:cstheme="minorHAnsi"/>
          <w:sz w:val="24"/>
          <w:szCs w:val="24"/>
        </w:rPr>
      </w:pPr>
      <w:r w:rsidRPr="009E6E3E">
        <w:rPr>
          <w:rFonts w:eastAsia="Times New Roman" w:cstheme="minorHAnsi"/>
          <w:sz w:val="24"/>
          <w:szCs w:val="24"/>
        </w:rPr>
        <w:t xml:space="preserve">Sequences of herbivore induction can influence plant-mediated aboveground and belowground herbivores interactions. Most of the studies </w:t>
      </w:r>
      <w:r w:rsidRPr="009C1DB4">
        <w:rPr>
          <w:rFonts w:eastAsia="Times New Roman" w:cstheme="minorHAnsi"/>
          <w:noProof/>
          <w:sz w:val="24"/>
          <w:szCs w:val="24"/>
        </w:rPr>
        <w:t>are concentrated</w:t>
      </w:r>
      <w:r w:rsidRPr="009E6E3E">
        <w:rPr>
          <w:rFonts w:eastAsia="Times New Roman" w:cstheme="minorHAnsi"/>
          <w:sz w:val="24"/>
          <w:szCs w:val="24"/>
        </w:rPr>
        <w:t xml:space="preserve"> on the </w:t>
      </w:r>
      <w:r w:rsidRPr="009E6E3E">
        <w:rPr>
          <w:rFonts w:eastAsia="Times New Roman" w:cstheme="minorHAnsi"/>
          <w:noProof/>
          <w:sz w:val="24"/>
          <w:szCs w:val="24"/>
        </w:rPr>
        <w:t>effect</w:t>
      </w:r>
      <w:r w:rsidRPr="009E6E3E">
        <w:rPr>
          <w:rFonts w:eastAsia="Times New Roman" w:cstheme="minorHAnsi"/>
          <w:sz w:val="24"/>
          <w:szCs w:val="24"/>
        </w:rPr>
        <w:t xml:space="preserve"> of aboveground herbivores on belowground herbivores having the same feeding guilds. Indeed, the different feeding guilds and sequence of herbivores induction can influence the plant-mediated ab</w:t>
      </w:r>
      <w:r>
        <w:rPr>
          <w:rFonts w:eastAsia="Times New Roman" w:cstheme="minorHAnsi"/>
          <w:sz w:val="24"/>
          <w:szCs w:val="24"/>
        </w:rPr>
        <w:t>oveground-belowground herbivore</w:t>
      </w:r>
      <w:r w:rsidRPr="009E6E3E">
        <w:rPr>
          <w:rFonts w:eastAsia="Times New Roman" w:cstheme="minorHAnsi"/>
          <w:sz w:val="24"/>
          <w:szCs w:val="24"/>
        </w:rPr>
        <w:t xml:space="preserve"> interactions. We investigate whether sequential induction of aboveground leaf chewing, </w:t>
      </w:r>
      <w:r w:rsidRPr="009E6E3E">
        <w:rPr>
          <w:rFonts w:eastAsia="Times New Roman" w:cstheme="minorHAnsi"/>
          <w:noProof/>
          <w:sz w:val="24"/>
          <w:szCs w:val="24"/>
        </w:rPr>
        <w:t>and</w:t>
      </w:r>
      <w:r w:rsidRPr="009E6E3E">
        <w:rPr>
          <w:rFonts w:eastAsia="Times New Roman" w:cstheme="minorHAnsi"/>
          <w:sz w:val="24"/>
          <w:szCs w:val="24"/>
        </w:rPr>
        <w:t xml:space="preserve"> </w:t>
      </w:r>
      <w:r w:rsidRPr="009E6E3E">
        <w:rPr>
          <w:rFonts w:eastAsia="Times New Roman" w:cstheme="minorHAnsi"/>
          <w:noProof/>
          <w:sz w:val="24"/>
          <w:szCs w:val="24"/>
        </w:rPr>
        <w:t>phloem-feeding</w:t>
      </w:r>
      <w:r w:rsidRPr="009E6E3E">
        <w:rPr>
          <w:rFonts w:eastAsia="Times New Roman" w:cstheme="minorHAnsi"/>
          <w:sz w:val="24"/>
          <w:szCs w:val="24"/>
        </w:rPr>
        <w:t xml:space="preserve"> herbivores </w:t>
      </w:r>
      <w:proofErr w:type="spellStart"/>
      <w:r w:rsidRPr="009E6E3E">
        <w:rPr>
          <w:rFonts w:eastAsia="Times New Roman" w:cstheme="minorHAnsi"/>
          <w:i/>
          <w:iCs/>
          <w:sz w:val="24"/>
          <w:szCs w:val="24"/>
          <w:shd w:val="clear" w:color="auto" w:fill="FFFFFF"/>
        </w:rPr>
        <w:t>Plutella</w:t>
      </w:r>
      <w:proofErr w:type="spellEnd"/>
      <w:r w:rsidRPr="009E6E3E">
        <w:rPr>
          <w:rFonts w:eastAsia="Times New Roman" w:cstheme="minorHAnsi"/>
          <w:i/>
          <w:iCs/>
          <w:sz w:val="24"/>
          <w:szCs w:val="24"/>
          <w:shd w:val="clear" w:color="auto" w:fill="FFFFFF"/>
        </w:rPr>
        <w:t xml:space="preserve"> </w:t>
      </w:r>
      <w:r w:rsidRPr="009C1DB4">
        <w:rPr>
          <w:rFonts w:eastAsia="Times New Roman" w:cstheme="minorHAnsi"/>
          <w:i/>
          <w:iCs/>
          <w:noProof/>
          <w:sz w:val="24"/>
          <w:szCs w:val="24"/>
          <w:shd w:val="clear" w:color="auto" w:fill="FFFFFF"/>
        </w:rPr>
        <w:t>xylostella</w:t>
      </w:r>
      <w:r w:rsidRPr="009E6E3E">
        <w:rPr>
          <w:rFonts w:eastAsia="Times New Roman" w:cstheme="minorHAnsi"/>
          <w:sz w:val="24"/>
          <w:szCs w:val="24"/>
        </w:rPr>
        <w:t xml:space="preserve"> (Lepidoptera: </w:t>
      </w:r>
      <w:proofErr w:type="spellStart"/>
      <w:r w:rsidRPr="009E6E3E">
        <w:rPr>
          <w:rFonts w:eastAsia="Times New Roman" w:cstheme="minorHAnsi"/>
          <w:sz w:val="24"/>
          <w:szCs w:val="24"/>
        </w:rPr>
        <w:t>Plutellidae</w:t>
      </w:r>
      <w:proofErr w:type="spellEnd"/>
      <w:r w:rsidRPr="009E6E3E">
        <w:rPr>
          <w:rFonts w:eastAsia="Times New Roman" w:cstheme="minorHAnsi"/>
          <w:sz w:val="24"/>
          <w:szCs w:val="24"/>
        </w:rPr>
        <w:t xml:space="preserve">) and </w:t>
      </w:r>
      <w:proofErr w:type="spellStart"/>
      <w:r w:rsidRPr="009E6E3E">
        <w:rPr>
          <w:rFonts w:eastAsia="Times New Roman" w:cstheme="minorHAnsi"/>
          <w:i/>
          <w:iCs/>
          <w:sz w:val="24"/>
          <w:szCs w:val="24"/>
          <w:shd w:val="clear" w:color="auto" w:fill="FFFFFF"/>
        </w:rPr>
        <w:t>Brevicoryne</w:t>
      </w:r>
      <w:proofErr w:type="spellEnd"/>
      <w:r w:rsidRPr="009E6E3E">
        <w:rPr>
          <w:rFonts w:eastAsia="Times New Roman" w:cstheme="minorHAnsi"/>
          <w:i/>
          <w:iCs/>
          <w:sz w:val="24"/>
          <w:szCs w:val="24"/>
          <w:shd w:val="clear" w:color="auto" w:fill="FFFFFF"/>
        </w:rPr>
        <w:t xml:space="preserve"> </w:t>
      </w:r>
      <w:r w:rsidRPr="009C1DB4">
        <w:rPr>
          <w:rFonts w:eastAsia="Times New Roman" w:cstheme="minorHAnsi"/>
          <w:i/>
          <w:iCs/>
          <w:noProof/>
          <w:sz w:val="24"/>
          <w:szCs w:val="24"/>
          <w:shd w:val="clear" w:color="auto" w:fill="FFFFFF"/>
        </w:rPr>
        <w:t>brassicae</w:t>
      </w:r>
      <w:r w:rsidRPr="009E6E3E">
        <w:rPr>
          <w:rFonts w:cstheme="minorHAnsi"/>
          <w:sz w:val="24"/>
          <w:szCs w:val="24"/>
        </w:rPr>
        <w:t xml:space="preserve"> </w:t>
      </w:r>
      <w:r w:rsidRPr="009E6E3E">
        <w:rPr>
          <w:rFonts w:eastAsia="Times New Roman" w:cstheme="minorHAnsi"/>
          <w:sz w:val="24"/>
          <w:szCs w:val="24"/>
        </w:rPr>
        <w:t>(</w:t>
      </w:r>
      <w:proofErr w:type="spellStart"/>
      <w:r w:rsidRPr="009E6E3E">
        <w:rPr>
          <w:rFonts w:eastAsia="Times New Roman" w:cstheme="minorHAnsi"/>
          <w:sz w:val="24"/>
          <w:szCs w:val="24"/>
        </w:rPr>
        <w:t>Homoptera</w:t>
      </w:r>
      <w:proofErr w:type="spellEnd"/>
      <w:r w:rsidRPr="009E6E3E">
        <w:rPr>
          <w:rFonts w:eastAsia="Times New Roman" w:cstheme="minorHAnsi"/>
          <w:sz w:val="24"/>
          <w:szCs w:val="24"/>
        </w:rPr>
        <w:t xml:space="preserve">: </w:t>
      </w:r>
      <w:proofErr w:type="spellStart"/>
      <w:r w:rsidRPr="009E6E3E">
        <w:rPr>
          <w:rFonts w:eastAsia="Times New Roman" w:cstheme="minorHAnsi"/>
          <w:sz w:val="24"/>
          <w:szCs w:val="24"/>
        </w:rPr>
        <w:t>Aphididae</w:t>
      </w:r>
      <w:proofErr w:type="spellEnd"/>
      <w:r w:rsidRPr="009E6E3E">
        <w:rPr>
          <w:rFonts w:eastAsia="Times New Roman" w:cstheme="minorHAnsi"/>
          <w:sz w:val="24"/>
          <w:szCs w:val="24"/>
        </w:rPr>
        <w:t xml:space="preserve">) may have effects on </w:t>
      </w:r>
      <w:r w:rsidRPr="009E6E3E">
        <w:rPr>
          <w:rFonts w:cstheme="minorHAnsi"/>
          <w:sz w:val="24"/>
          <w:szCs w:val="24"/>
        </w:rPr>
        <w:t xml:space="preserve">performance of the belowground herbivore </w:t>
      </w:r>
      <w:r w:rsidRPr="009E6E3E">
        <w:rPr>
          <w:rFonts w:cstheme="minorHAnsi"/>
          <w:i/>
          <w:sz w:val="24"/>
          <w:szCs w:val="24"/>
        </w:rPr>
        <w:t xml:space="preserve">Delia </w:t>
      </w:r>
      <w:r w:rsidRPr="009C1DB4">
        <w:rPr>
          <w:rFonts w:cstheme="minorHAnsi"/>
          <w:i/>
          <w:noProof/>
          <w:sz w:val="24"/>
          <w:szCs w:val="24"/>
        </w:rPr>
        <w:t>radicum</w:t>
      </w:r>
      <w:r w:rsidRPr="009E6E3E">
        <w:rPr>
          <w:rFonts w:cstheme="minorHAnsi"/>
          <w:sz w:val="24"/>
          <w:szCs w:val="24"/>
        </w:rPr>
        <w:t xml:space="preserve"> </w:t>
      </w:r>
      <w:r w:rsidRPr="009E6E3E">
        <w:rPr>
          <w:rFonts w:eastAsia="Times New Roman" w:cstheme="minorHAnsi"/>
          <w:sz w:val="24"/>
          <w:szCs w:val="24"/>
        </w:rPr>
        <w:t>(</w:t>
      </w:r>
      <w:proofErr w:type="spellStart"/>
      <w:r w:rsidRPr="009E6E3E">
        <w:rPr>
          <w:rFonts w:eastAsia="Times New Roman" w:cstheme="minorHAnsi"/>
          <w:sz w:val="24"/>
          <w:szCs w:val="24"/>
        </w:rPr>
        <w:t>Diptera</w:t>
      </w:r>
      <w:proofErr w:type="spellEnd"/>
      <w:r w:rsidRPr="009E6E3E">
        <w:rPr>
          <w:rFonts w:eastAsia="Times New Roman" w:cstheme="minorHAnsi"/>
          <w:sz w:val="24"/>
          <w:szCs w:val="24"/>
        </w:rPr>
        <w:t xml:space="preserve">: </w:t>
      </w:r>
      <w:proofErr w:type="spellStart"/>
      <w:r w:rsidRPr="009E6E3E">
        <w:rPr>
          <w:rFonts w:eastAsia="Times New Roman" w:cstheme="minorHAnsi"/>
          <w:sz w:val="24"/>
          <w:szCs w:val="24"/>
        </w:rPr>
        <w:t>Anthomyiidae</w:t>
      </w:r>
      <w:proofErr w:type="spellEnd"/>
      <w:r w:rsidRPr="009E6E3E">
        <w:rPr>
          <w:rFonts w:eastAsia="Times New Roman" w:cstheme="minorHAnsi"/>
          <w:sz w:val="24"/>
          <w:szCs w:val="24"/>
        </w:rPr>
        <w:t xml:space="preserve">) sharing the same host plant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Brassica oleracea </w:t>
      </w:r>
      <w:r w:rsidRPr="009E6E3E">
        <w:rPr>
          <w:rFonts w:eastAsia="Times New Roman" w:cstheme="minorHAnsi"/>
          <w:sz w:val="24"/>
          <w:szCs w:val="24"/>
        </w:rPr>
        <w:t>var.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gimmifera</w:t>
      </w:r>
      <w:r w:rsidRPr="009C1DB4">
        <w:rPr>
          <w:rFonts w:eastAsia="Times New Roman" w:cstheme="minorHAnsi"/>
          <w:noProof/>
          <w:sz w:val="24"/>
          <w:szCs w:val="24"/>
        </w:rPr>
        <w:t>. Furthermore</w:t>
      </w:r>
      <w:r w:rsidRPr="009E6E3E">
        <w:rPr>
          <w:rFonts w:eastAsia="Times New Roman" w:cstheme="minorHAnsi"/>
          <w:sz w:val="24"/>
          <w:szCs w:val="24"/>
        </w:rPr>
        <w:t xml:space="preserve">, we investigated the induced responses of the </w:t>
      </w:r>
      <w:r w:rsidRPr="009E6E3E">
        <w:rPr>
          <w:rFonts w:eastAsia="Times New Roman" w:cstheme="minorHAnsi"/>
          <w:noProof/>
          <w:sz w:val="24"/>
          <w:szCs w:val="24"/>
        </w:rPr>
        <w:t>plant</w:t>
      </w:r>
      <w:r w:rsidRPr="009E6E3E">
        <w:rPr>
          <w:rFonts w:eastAsia="Times New Roman" w:cstheme="minorHAnsi"/>
          <w:sz w:val="24"/>
          <w:szCs w:val="24"/>
        </w:rPr>
        <w:t xml:space="preserve"> due to the </w:t>
      </w:r>
      <w:r w:rsidRPr="009E6E3E">
        <w:rPr>
          <w:rFonts w:eastAsia="Times New Roman" w:cstheme="minorHAnsi"/>
          <w:noProof/>
          <w:sz w:val="24"/>
          <w:szCs w:val="24"/>
        </w:rPr>
        <w:t>mechanism</w:t>
      </w:r>
      <w:r w:rsidRPr="009E6E3E">
        <w:rPr>
          <w:rFonts w:eastAsia="Times New Roman" w:cstheme="minorHAnsi"/>
          <w:sz w:val="24"/>
          <w:szCs w:val="24"/>
        </w:rPr>
        <w:t xml:space="preserve"> of aboveground-and belowground herbivores interactions and time point feeding of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D.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radicum</w:t>
      </w:r>
      <w:r w:rsidRPr="009E6E3E">
        <w:rPr>
          <w:rFonts w:eastAsia="Times New Roman" w:cstheme="minorHAnsi"/>
          <w:sz w:val="24"/>
          <w:szCs w:val="24"/>
        </w:rPr>
        <w:t xml:space="preserve"> in </w:t>
      </w:r>
      <w:r w:rsidRPr="009E6E3E">
        <w:rPr>
          <w:rFonts w:eastAsia="Times New Roman" w:cstheme="minorHAnsi"/>
          <w:i/>
          <w:iCs/>
          <w:noProof/>
          <w:sz w:val="24"/>
          <w:szCs w:val="24"/>
        </w:rPr>
        <w:t>Brassica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 oleracea </w:t>
      </w:r>
      <w:r w:rsidRPr="009E6E3E">
        <w:rPr>
          <w:rFonts w:eastAsia="Times New Roman" w:cstheme="minorHAnsi"/>
          <w:sz w:val="24"/>
          <w:szCs w:val="24"/>
        </w:rPr>
        <w:t>var.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gimmifera</w:t>
      </w:r>
      <w:r w:rsidRPr="009E6E3E">
        <w:rPr>
          <w:rFonts w:eastAsia="Times New Roman" w:cstheme="minorHAnsi"/>
          <w:sz w:val="24"/>
          <w:szCs w:val="24"/>
        </w:rPr>
        <w:t xml:space="preserve"> plant. The aboveground specialist herbivore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P.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xylostella</w:t>
      </w:r>
      <w:r w:rsidRPr="009E6E3E">
        <w:rPr>
          <w:rFonts w:eastAsia="Times New Roman" w:cstheme="minorHAnsi"/>
          <w:sz w:val="24"/>
          <w:szCs w:val="24"/>
        </w:rPr>
        <w:t xml:space="preserve"> had </w:t>
      </w:r>
      <w:r w:rsidRPr="009C1DB4">
        <w:rPr>
          <w:rFonts w:eastAsia="Times New Roman" w:cstheme="minorHAnsi"/>
          <w:noProof/>
          <w:sz w:val="24"/>
          <w:szCs w:val="24"/>
        </w:rPr>
        <w:t>negative</w:t>
      </w:r>
      <w:r w:rsidRPr="009E6E3E">
        <w:rPr>
          <w:rFonts w:eastAsia="Times New Roman" w:cstheme="minorHAnsi"/>
          <w:sz w:val="24"/>
          <w:szCs w:val="24"/>
        </w:rPr>
        <w:t xml:space="preserve"> effect on belowground herbivore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D.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radicum</w:t>
      </w:r>
      <w:r w:rsidRPr="009E6E3E">
        <w:rPr>
          <w:rFonts w:eastAsia="Times New Roman" w:cstheme="minorHAnsi"/>
          <w:sz w:val="24"/>
          <w:szCs w:val="24"/>
        </w:rPr>
        <w:t xml:space="preserve"> when it arrives later. Our study indicated that the later arriving herbivores </w:t>
      </w:r>
      <w:r w:rsidRPr="009E6E3E">
        <w:rPr>
          <w:rFonts w:eastAsia="Times New Roman" w:cstheme="minorHAnsi"/>
          <w:noProof/>
          <w:sz w:val="24"/>
          <w:szCs w:val="24"/>
        </w:rPr>
        <w:t>could</w:t>
      </w:r>
      <w:r w:rsidRPr="009E6E3E">
        <w:rPr>
          <w:rFonts w:eastAsia="Times New Roman" w:cstheme="minorHAnsi"/>
          <w:sz w:val="24"/>
          <w:szCs w:val="24"/>
        </w:rPr>
        <w:t xml:space="preserve"> modify induced plant responses over early arriving herbivore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D.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radicum</w:t>
      </w:r>
      <w:r w:rsidRPr="009E6E3E">
        <w:rPr>
          <w:rFonts w:eastAsia="Times New Roman" w:cstheme="minorHAnsi"/>
          <w:sz w:val="24"/>
          <w:szCs w:val="24"/>
        </w:rPr>
        <w:t xml:space="preserve">, and supported the physiological hypothesis </w:t>
      </w:r>
      <w:r w:rsidRPr="009C1DB4">
        <w:rPr>
          <w:rFonts w:eastAsia="Times New Roman" w:cstheme="minorHAnsi"/>
          <w:noProof/>
          <w:sz w:val="24"/>
          <w:szCs w:val="24"/>
        </w:rPr>
        <w:t>overriding</w:t>
      </w:r>
      <w:r w:rsidRPr="009E6E3E">
        <w:rPr>
          <w:rFonts w:eastAsia="Times New Roman" w:cstheme="minorHAnsi"/>
          <w:sz w:val="24"/>
          <w:szCs w:val="24"/>
        </w:rPr>
        <w:t xml:space="preserve"> effect of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P.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xylostella</w:t>
      </w:r>
      <w:r w:rsidRPr="009E6E3E">
        <w:rPr>
          <w:rFonts w:eastAsia="Times New Roman" w:cstheme="minorHAnsi"/>
          <w:sz w:val="24"/>
          <w:szCs w:val="24"/>
        </w:rPr>
        <w:t xml:space="preserve">. The mechanisms of aboveground herbivores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P.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xylostella</w:t>
      </w:r>
      <w:r w:rsidRPr="009E6E3E">
        <w:rPr>
          <w:rFonts w:eastAsia="Times New Roman" w:cstheme="minorHAnsi"/>
          <w:sz w:val="24"/>
          <w:szCs w:val="24"/>
        </w:rPr>
        <w:t xml:space="preserve"> and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B.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brassicae</w:t>
      </w:r>
      <w:r w:rsidRPr="009E6E3E">
        <w:rPr>
          <w:rFonts w:eastAsia="Times New Roman" w:cstheme="minorHAnsi"/>
          <w:sz w:val="24"/>
          <w:szCs w:val="24"/>
        </w:rPr>
        <w:t xml:space="preserve">, and belowground herbivore </w:t>
      </w:r>
      <w:r w:rsidRPr="009E6E3E">
        <w:rPr>
          <w:rFonts w:eastAsia="Times New Roman" w:cstheme="minorHAnsi"/>
          <w:i/>
          <w:iCs/>
          <w:sz w:val="24"/>
          <w:szCs w:val="24"/>
        </w:rPr>
        <w:t xml:space="preserve">D. </w:t>
      </w:r>
      <w:r w:rsidRPr="009C1DB4">
        <w:rPr>
          <w:rFonts w:eastAsia="Times New Roman" w:cstheme="minorHAnsi"/>
          <w:i/>
          <w:iCs/>
          <w:noProof/>
          <w:sz w:val="24"/>
          <w:szCs w:val="24"/>
        </w:rPr>
        <w:t>radicum</w:t>
      </w:r>
      <w:r w:rsidRPr="009E6E3E">
        <w:rPr>
          <w:rFonts w:eastAsia="Times New Roman" w:cstheme="minorHAnsi"/>
          <w:sz w:val="24"/>
          <w:szCs w:val="24"/>
        </w:rPr>
        <w:t xml:space="preserve"> interactions </w:t>
      </w:r>
      <w:r>
        <w:rPr>
          <w:rFonts w:eastAsia="Times New Roman" w:cstheme="minorHAnsi"/>
          <w:sz w:val="24"/>
          <w:szCs w:val="24"/>
        </w:rPr>
        <w:t xml:space="preserve">showed </w:t>
      </w:r>
      <w:r w:rsidRPr="009E6E3E">
        <w:rPr>
          <w:rFonts w:eastAsia="Times New Roman" w:cstheme="minorHAnsi"/>
          <w:sz w:val="24"/>
          <w:szCs w:val="24"/>
        </w:rPr>
        <w:t xml:space="preserve">a </w:t>
      </w:r>
      <w:r w:rsidRPr="009E6E3E">
        <w:rPr>
          <w:rFonts w:eastAsia="Times New Roman" w:cstheme="minorHAnsi"/>
          <w:noProof/>
          <w:sz w:val="24"/>
          <w:szCs w:val="24"/>
        </w:rPr>
        <w:t>positive</w:t>
      </w:r>
      <w:r w:rsidRPr="009E6E3E">
        <w:rPr>
          <w:rFonts w:eastAsia="Times New Roman" w:cstheme="minorHAnsi"/>
          <w:sz w:val="24"/>
          <w:szCs w:val="24"/>
        </w:rPr>
        <w:t xml:space="preserve"> effect on plant </w:t>
      </w:r>
      <w:r>
        <w:rPr>
          <w:rFonts w:eastAsia="Times New Roman" w:cstheme="minorHAnsi"/>
          <w:sz w:val="24"/>
          <w:szCs w:val="24"/>
        </w:rPr>
        <w:t>biomass</w:t>
      </w:r>
      <w:r w:rsidRPr="009C1DB4">
        <w:rPr>
          <w:rFonts w:eastAsia="Times New Roman" w:cstheme="minorHAnsi"/>
          <w:noProof/>
          <w:sz w:val="24"/>
          <w:szCs w:val="24"/>
        </w:rPr>
        <w:t>. Moreover</w:t>
      </w:r>
      <w:r>
        <w:rPr>
          <w:rFonts w:eastAsia="Times New Roman" w:cstheme="minorHAnsi"/>
          <w:sz w:val="24"/>
          <w:szCs w:val="24"/>
        </w:rPr>
        <w:t>, t</w:t>
      </w:r>
      <w:r w:rsidRPr="009E6E3E">
        <w:rPr>
          <w:rFonts w:eastAsia="Times New Roman" w:cstheme="minorHAnsi"/>
          <w:sz w:val="24"/>
          <w:szCs w:val="24"/>
        </w:rPr>
        <w:t xml:space="preserve">he aboveground-and belowground herbivory significantly increased </w:t>
      </w:r>
      <w:r w:rsidRPr="0006094A">
        <w:rPr>
          <w:rFonts w:eastAsia="Times New Roman" w:cstheme="minorHAnsi"/>
          <w:noProof/>
          <w:sz w:val="24"/>
          <w:szCs w:val="24"/>
        </w:rPr>
        <w:t>primary</w:t>
      </w:r>
      <w:r>
        <w:rPr>
          <w:rFonts w:eastAsia="Times New Roman" w:cstheme="minorHAnsi"/>
          <w:sz w:val="24"/>
          <w:szCs w:val="24"/>
        </w:rPr>
        <w:t xml:space="preserve"> compounds concentration</w:t>
      </w:r>
      <w:r w:rsidRPr="009E6E3E">
        <w:rPr>
          <w:rFonts w:eastAsia="Times New Roman" w:cstheme="minorHAnsi"/>
          <w:sz w:val="24"/>
          <w:szCs w:val="24"/>
        </w:rPr>
        <w:t xml:space="preserve"> and </w:t>
      </w:r>
      <w:proofErr w:type="spellStart"/>
      <w:r w:rsidRPr="009E6E3E">
        <w:rPr>
          <w:rFonts w:eastAsia="Times New Roman" w:cstheme="minorHAnsi"/>
          <w:sz w:val="24"/>
          <w:szCs w:val="24"/>
        </w:rPr>
        <w:t>glucosinolates</w:t>
      </w:r>
      <w:proofErr w:type="spellEnd"/>
      <w:r>
        <w:rPr>
          <w:rFonts w:eastAsia="Times New Roman" w:cstheme="minorHAnsi"/>
          <w:sz w:val="24"/>
          <w:szCs w:val="24"/>
        </w:rPr>
        <w:t xml:space="preserve"> level</w:t>
      </w:r>
      <w:r w:rsidRPr="009E6E3E">
        <w:rPr>
          <w:rFonts w:eastAsia="Times New Roman" w:cstheme="minorHAnsi"/>
          <w:sz w:val="24"/>
          <w:szCs w:val="24"/>
        </w:rPr>
        <w:t xml:space="preserve">. The total </w:t>
      </w:r>
      <w:proofErr w:type="spellStart"/>
      <w:r w:rsidRPr="009E6E3E">
        <w:rPr>
          <w:rFonts w:eastAsia="Times New Roman" w:cstheme="minorHAnsi"/>
          <w:sz w:val="24"/>
          <w:szCs w:val="24"/>
        </w:rPr>
        <w:t>glucosinolates</w:t>
      </w:r>
      <w:proofErr w:type="spellEnd"/>
      <w:r w:rsidRPr="009E6E3E">
        <w:rPr>
          <w:rFonts w:eastAsia="Times New Roman" w:cstheme="minorHAnsi"/>
          <w:sz w:val="24"/>
          <w:szCs w:val="24"/>
        </w:rPr>
        <w:t xml:space="preserve"> induction was recorded almost </w:t>
      </w:r>
      <w:r w:rsidRPr="009E6E3E">
        <w:rPr>
          <w:rFonts w:cstheme="minorHAnsi"/>
          <w:sz w:val="24"/>
          <w:szCs w:val="24"/>
        </w:rPr>
        <w:t xml:space="preserve">two-fold compared to herbivores non-exposed plant’s roots. </w:t>
      </w:r>
      <w:r w:rsidRPr="009C1DB4">
        <w:rPr>
          <w:rFonts w:cstheme="minorHAnsi"/>
          <w:noProof/>
          <w:sz w:val="24"/>
          <w:szCs w:val="24"/>
        </w:rPr>
        <w:t>Apparently,</w:t>
      </w:r>
      <w:r w:rsidRPr="009E6E3E">
        <w:rPr>
          <w:rFonts w:cstheme="minorHAnsi"/>
          <w:sz w:val="24"/>
          <w:szCs w:val="24"/>
        </w:rPr>
        <w:t xml:space="preserve"> the level of indole </w:t>
      </w:r>
      <w:proofErr w:type="spellStart"/>
      <w:r w:rsidRPr="009E6E3E">
        <w:rPr>
          <w:rFonts w:cstheme="minorHAnsi"/>
          <w:sz w:val="24"/>
          <w:szCs w:val="24"/>
        </w:rPr>
        <w:t>glucosinolates</w:t>
      </w:r>
      <w:proofErr w:type="spellEnd"/>
      <w:r w:rsidRPr="009E6E3E">
        <w:rPr>
          <w:rFonts w:cstheme="minorHAnsi"/>
          <w:sz w:val="24"/>
          <w:szCs w:val="24"/>
        </w:rPr>
        <w:t xml:space="preserve"> was recorded higher compared to aliphatic and aromatic </w:t>
      </w:r>
      <w:proofErr w:type="spellStart"/>
      <w:r w:rsidRPr="009E6E3E">
        <w:rPr>
          <w:rFonts w:cstheme="minorHAnsi"/>
          <w:sz w:val="24"/>
          <w:szCs w:val="24"/>
        </w:rPr>
        <w:t>glucosinolates</w:t>
      </w:r>
      <w:proofErr w:type="spellEnd"/>
      <w:r w:rsidRPr="009E6E3E">
        <w:rPr>
          <w:rFonts w:cstheme="minorHAnsi"/>
          <w:sz w:val="24"/>
          <w:szCs w:val="24"/>
        </w:rPr>
        <w:t xml:space="preserve">. Among the types of individual indole </w:t>
      </w:r>
      <w:proofErr w:type="spellStart"/>
      <w:r w:rsidRPr="009E6E3E">
        <w:rPr>
          <w:rFonts w:cstheme="minorHAnsi"/>
          <w:sz w:val="24"/>
          <w:szCs w:val="24"/>
        </w:rPr>
        <w:t>glucosinolates</w:t>
      </w:r>
      <w:proofErr w:type="spellEnd"/>
      <w:r w:rsidRPr="009E6E3E">
        <w:rPr>
          <w:rFonts w:cstheme="minorHAnsi"/>
          <w:sz w:val="24"/>
          <w:szCs w:val="24"/>
        </w:rPr>
        <w:t xml:space="preserve">, </w:t>
      </w:r>
      <w:r w:rsidRPr="009C1DB4">
        <w:rPr>
          <w:rFonts w:cstheme="minorHAnsi"/>
          <w:noProof/>
          <w:sz w:val="24"/>
          <w:szCs w:val="24"/>
        </w:rPr>
        <w:t>neoglucobrassicin</w:t>
      </w:r>
      <w:r w:rsidRPr="009E6E3E">
        <w:rPr>
          <w:rFonts w:cstheme="minorHAnsi"/>
          <w:sz w:val="24"/>
          <w:szCs w:val="24"/>
        </w:rPr>
        <w:t xml:space="preserve"> </w:t>
      </w:r>
      <w:r w:rsidRPr="009C1DB4">
        <w:rPr>
          <w:rFonts w:cstheme="minorHAnsi"/>
          <w:noProof/>
          <w:sz w:val="24"/>
          <w:szCs w:val="24"/>
        </w:rPr>
        <w:t>was recorded</w:t>
      </w:r>
      <w:r w:rsidRPr="009E6E3E">
        <w:rPr>
          <w:rFonts w:cstheme="minorHAnsi"/>
          <w:sz w:val="24"/>
          <w:szCs w:val="24"/>
        </w:rPr>
        <w:t xml:space="preserve"> higher.</w:t>
      </w:r>
    </w:p>
    <w:p w14:paraId="1D771946" w14:textId="1C2B853D" w:rsidR="00EE6D4E" w:rsidRDefault="00775BB8" w:rsidP="00775BB8">
      <w:r w:rsidRPr="00775BB8">
        <w:rPr>
          <w:rFonts w:cstheme="minorHAnsi"/>
          <w:b/>
          <w:bCs/>
          <w:sz w:val="24"/>
          <w:szCs w:val="24"/>
        </w:rPr>
        <w:t>Keywords:</w:t>
      </w:r>
      <w:r w:rsidRPr="009E6E3E">
        <w:rPr>
          <w:rFonts w:cstheme="minorHAnsi"/>
          <w:sz w:val="24"/>
          <w:szCs w:val="24"/>
        </w:rPr>
        <w:t xml:space="preserve"> Above-and belowground interactions, </w:t>
      </w:r>
      <w:proofErr w:type="spellStart"/>
      <w:r w:rsidRPr="009E6E3E">
        <w:rPr>
          <w:rFonts w:cstheme="minorHAnsi"/>
          <w:sz w:val="24"/>
          <w:szCs w:val="24"/>
        </w:rPr>
        <w:t>glucosinolates</w:t>
      </w:r>
      <w:proofErr w:type="spellEnd"/>
      <w:r w:rsidRPr="009E6E3E">
        <w:rPr>
          <w:rFonts w:cstheme="minorHAnsi"/>
          <w:sz w:val="24"/>
          <w:szCs w:val="24"/>
        </w:rPr>
        <w:t xml:space="preserve">, </w:t>
      </w:r>
      <w:r w:rsidRPr="009E6E3E">
        <w:rPr>
          <w:rFonts w:cstheme="minorHAnsi"/>
          <w:i/>
          <w:iCs/>
          <w:sz w:val="24"/>
          <w:szCs w:val="24"/>
        </w:rPr>
        <w:t xml:space="preserve">Brassica oleracea </w:t>
      </w:r>
      <w:r w:rsidRPr="009E6E3E">
        <w:rPr>
          <w:rFonts w:cstheme="minorHAnsi"/>
          <w:sz w:val="24"/>
          <w:szCs w:val="24"/>
        </w:rPr>
        <w:t>var.</w:t>
      </w:r>
      <w:r w:rsidRPr="009E6E3E">
        <w:rPr>
          <w:rFonts w:cstheme="minorHAnsi"/>
          <w:i/>
          <w:iCs/>
          <w:sz w:val="24"/>
          <w:szCs w:val="24"/>
        </w:rPr>
        <w:t xml:space="preserve"> </w:t>
      </w:r>
      <w:r w:rsidRPr="009C1DB4">
        <w:rPr>
          <w:rFonts w:cstheme="minorHAnsi"/>
          <w:i/>
          <w:iCs/>
          <w:noProof/>
          <w:sz w:val="24"/>
          <w:szCs w:val="24"/>
        </w:rPr>
        <w:t>gemmifera</w:t>
      </w:r>
      <w:r w:rsidRPr="009E6E3E">
        <w:rPr>
          <w:rFonts w:cstheme="minorHAnsi"/>
          <w:sz w:val="24"/>
          <w:szCs w:val="24"/>
        </w:rPr>
        <w:t xml:space="preserve">, </w:t>
      </w:r>
      <w:r w:rsidRPr="009E6E3E">
        <w:rPr>
          <w:rFonts w:cstheme="minorHAnsi"/>
          <w:i/>
          <w:iCs/>
          <w:sz w:val="24"/>
          <w:szCs w:val="24"/>
        </w:rPr>
        <w:t xml:space="preserve">B. </w:t>
      </w:r>
      <w:r w:rsidRPr="009C1DB4">
        <w:rPr>
          <w:rFonts w:cstheme="minorHAnsi"/>
          <w:i/>
          <w:iCs/>
          <w:noProof/>
          <w:sz w:val="24"/>
          <w:szCs w:val="24"/>
        </w:rPr>
        <w:t>brassicae</w:t>
      </w:r>
      <w:r w:rsidRPr="009E6E3E">
        <w:rPr>
          <w:rFonts w:cstheme="minorHAnsi"/>
          <w:sz w:val="24"/>
          <w:szCs w:val="24"/>
        </w:rPr>
        <w:t xml:space="preserve">, plant biomass, </w:t>
      </w:r>
      <w:r w:rsidRPr="009E6E3E">
        <w:rPr>
          <w:rFonts w:cstheme="minorHAnsi"/>
          <w:i/>
          <w:iCs/>
          <w:sz w:val="24"/>
          <w:szCs w:val="24"/>
        </w:rPr>
        <w:t xml:space="preserve">D. </w:t>
      </w:r>
      <w:r w:rsidRPr="009C1DB4">
        <w:rPr>
          <w:rFonts w:cstheme="minorHAnsi"/>
          <w:i/>
          <w:iCs/>
          <w:noProof/>
          <w:sz w:val="24"/>
          <w:szCs w:val="24"/>
        </w:rPr>
        <w:t>radicum</w:t>
      </w:r>
      <w:r w:rsidRPr="009E6E3E">
        <w:rPr>
          <w:rFonts w:cstheme="minorHAnsi"/>
          <w:sz w:val="24"/>
          <w:szCs w:val="24"/>
        </w:rPr>
        <w:t xml:space="preserve">, induced plant response, </w:t>
      </w:r>
      <w:r w:rsidRPr="009E6E3E">
        <w:rPr>
          <w:rFonts w:cstheme="minorHAnsi"/>
          <w:i/>
          <w:iCs/>
          <w:sz w:val="24"/>
          <w:szCs w:val="24"/>
        </w:rPr>
        <w:t xml:space="preserve">P. </w:t>
      </w:r>
      <w:r w:rsidRPr="009C1DB4">
        <w:rPr>
          <w:rFonts w:cstheme="minorHAnsi"/>
          <w:i/>
          <w:iCs/>
          <w:noProof/>
          <w:sz w:val="24"/>
          <w:szCs w:val="24"/>
        </w:rPr>
        <w:t>xylostella</w:t>
      </w:r>
      <w:r w:rsidRPr="009E6E3E">
        <w:rPr>
          <w:rFonts w:cstheme="minorHAnsi"/>
          <w:sz w:val="24"/>
          <w:szCs w:val="24"/>
        </w:rPr>
        <w:t>, overriding effect</w:t>
      </w:r>
    </w:p>
    <w:sectPr w:rsidR="00EE6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O3NDA0MzQyByJjCyUdpeDU4uLM/DyQAsNaAM0piiQsAAAA"/>
  </w:docVars>
  <w:rsids>
    <w:rsidRoot w:val="00101F92"/>
    <w:rsid w:val="00101F92"/>
    <w:rsid w:val="00775BB8"/>
    <w:rsid w:val="00E92D12"/>
    <w:rsid w:val="00EE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23988"/>
  <w15:chartTrackingRefBased/>
  <w15:docId w15:val="{920ED835-CCFD-4E0B-A2E8-4AB4FED0E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BB8"/>
    <w:pPr>
      <w:spacing w:after="200" w:line="276" w:lineRule="auto"/>
    </w:pPr>
    <w:rPr>
      <w:rFonts w:eastAsiaTheme="minorEastAsia"/>
      <w:sz w:val="18"/>
      <w:szCs w:val="20"/>
      <w:lang w:bidi="ne-NP"/>
    </w:rPr>
  </w:style>
  <w:style w:type="paragraph" w:styleId="Heading1">
    <w:name w:val="heading 1"/>
    <w:basedOn w:val="Normal"/>
    <w:link w:val="Heading1Char"/>
    <w:uiPriority w:val="9"/>
    <w:qFormat/>
    <w:rsid w:val="00775BB8"/>
    <w:pPr>
      <w:spacing w:before="100" w:beforeAutospacing="1" w:after="100" w:afterAutospacing="1" w:line="240" w:lineRule="auto"/>
      <w:outlineLvl w:val="0"/>
    </w:pPr>
    <w:rPr>
      <w:rFonts w:eastAsia="Times New Roman" w:cs="Times New Roman"/>
      <w:bCs/>
      <w:kern w:val="36"/>
      <w:sz w:val="24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5BB8"/>
    <w:rPr>
      <w:rFonts w:eastAsia="Times New Roman" w:cs="Times New Roman"/>
      <w:bCs/>
      <w:kern w:val="36"/>
      <w:sz w:val="24"/>
      <w:szCs w:val="48"/>
      <w:lang w:bidi="ne-N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384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Toyanath Joshi</dc:creator>
  <cp:keywords/>
  <dc:description/>
  <cp:lastModifiedBy>Toyanath Joshi</cp:lastModifiedBy>
  <cp:revision>2</cp:revision>
  <dcterms:created xsi:type="dcterms:W3CDTF">2019-10-29T02:35:00Z</dcterms:created>
  <dcterms:modified xsi:type="dcterms:W3CDTF">2019-10-29T02:40:00Z</dcterms:modified>
</cp:coreProperties>
</file>