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3F6" w:rsidRDefault="00FE63F6" w:rsidP="00FE63F6">
      <w:pPr>
        <w:shd w:val="clear" w:color="auto" w:fill="FFFFFF"/>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Yield and soil health improvement through integrated crop management practice in soybean </w:t>
      </w:r>
      <w:proofErr w:type="gramStart"/>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Glycine</w:t>
      </w:r>
      <w:proofErr w:type="spellEnd"/>
      <w:proofErr w:type="gramEnd"/>
      <w:r>
        <w:rPr>
          <w:rFonts w:ascii="Times New Roman" w:hAnsi="Times New Roman" w:cs="Times New Roman"/>
          <w:b/>
          <w:bCs/>
          <w:color w:val="000000"/>
          <w:sz w:val="24"/>
          <w:szCs w:val="24"/>
        </w:rPr>
        <w:t xml:space="preserve"> max (L.) </w:t>
      </w:r>
      <w:proofErr w:type="gramStart"/>
      <w:r>
        <w:rPr>
          <w:rFonts w:ascii="Times New Roman" w:hAnsi="Times New Roman" w:cs="Times New Roman"/>
          <w:b/>
          <w:bCs/>
          <w:color w:val="000000"/>
          <w:sz w:val="24"/>
          <w:szCs w:val="24"/>
        </w:rPr>
        <w:t>Merrill ]</w:t>
      </w:r>
      <w:proofErr w:type="gramEnd"/>
    </w:p>
    <w:p w:rsidR="00FE63F6" w:rsidRDefault="00FE63F6" w:rsidP="00FE63F6">
      <w:pPr>
        <w:shd w:val="clear" w:color="auto" w:fill="FFFFFF"/>
        <w:spacing w:after="0" w:line="240" w:lineRule="auto"/>
        <w:jc w:val="center"/>
        <w:rPr>
          <w:rFonts w:ascii="Times New Roman" w:hAnsi="Times New Roman" w:cs="Times New Roman"/>
          <w:b/>
          <w:bCs/>
          <w:color w:val="000000"/>
          <w:sz w:val="24"/>
          <w:szCs w:val="24"/>
        </w:rPr>
      </w:pPr>
    </w:p>
    <w:p w:rsidR="00FE63F6" w:rsidRDefault="00FE63F6" w:rsidP="00FE63F6">
      <w:pPr>
        <w:shd w:val="clear" w:color="auto" w:fill="FFFFFF"/>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A. K. Gore, G.K. </w:t>
      </w:r>
      <w:proofErr w:type="spellStart"/>
      <w:r>
        <w:rPr>
          <w:rFonts w:ascii="Times New Roman" w:hAnsi="Times New Roman" w:cs="Times New Roman"/>
          <w:b/>
          <w:bCs/>
          <w:color w:val="000000"/>
          <w:sz w:val="24"/>
          <w:szCs w:val="24"/>
        </w:rPr>
        <w:t>Gaikwad</w:t>
      </w:r>
      <w:proofErr w:type="spellEnd"/>
      <w:r>
        <w:rPr>
          <w:rFonts w:ascii="Times New Roman" w:hAnsi="Times New Roman" w:cs="Times New Roman"/>
          <w:b/>
          <w:bCs/>
          <w:color w:val="000000"/>
          <w:sz w:val="24"/>
          <w:szCs w:val="24"/>
        </w:rPr>
        <w:t xml:space="preserve">, D.P. </w:t>
      </w:r>
      <w:proofErr w:type="spellStart"/>
      <w:r>
        <w:rPr>
          <w:rFonts w:ascii="Times New Roman" w:hAnsi="Times New Roman" w:cs="Times New Roman"/>
          <w:b/>
          <w:bCs/>
          <w:color w:val="000000"/>
          <w:sz w:val="24"/>
          <w:szCs w:val="24"/>
        </w:rPr>
        <w:t>Waskar</w:t>
      </w:r>
      <w:proofErr w:type="spellEnd"/>
      <w:r w:rsidR="00B07584">
        <w:rPr>
          <w:rFonts w:ascii="Times New Roman" w:hAnsi="Times New Roman" w:cs="Times New Roman"/>
          <w:b/>
          <w:bCs/>
          <w:color w:val="000000"/>
          <w:sz w:val="24"/>
          <w:szCs w:val="24"/>
        </w:rPr>
        <w:t xml:space="preserve">, V.G. </w:t>
      </w:r>
      <w:proofErr w:type="spellStart"/>
      <w:r w:rsidR="00B07584">
        <w:rPr>
          <w:rFonts w:ascii="Times New Roman" w:hAnsi="Times New Roman" w:cs="Times New Roman"/>
          <w:b/>
          <w:bCs/>
          <w:color w:val="000000"/>
          <w:sz w:val="24"/>
          <w:szCs w:val="24"/>
        </w:rPr>
        <w:t>Khargakharate</w:t>
      </w:r>
      <w:proofErr w:type="spellEnd"/>
      <w:r>
        <w:rPr>
          <w:rFonts w:ascii="Times New Roman" w:hAnsi="Times New Roman" w:cs="Times New Roman"/>
          <w:b/>
          <w:bCs/>
          <w:color w:val="000000"/>
          <w:sz w:val="24"/>
          <w:szCs w:val="24"/>
        </w:rPr>
        <w:t xml:space="preserve"> </w:t>
      </w:r>
      <w:proofErr w:type="gramStart"/>
      <w:r>
        <w:rPr>
          <w:rFonts w:ascii="Times New Roman" w:hAnsi="Times New Roman" w:cs="Times New Roman"/>
          <w:b/>
          <w:bCs/>
          <w:color w:val="000000"/>
          <w:sz w:val="24"/>
          <w:szCs w:val="24"/>
        </w:rPr>
        <w:t>and  B</w:t>
      </w:r>
      <w:proofErr w:type="gramEnd"/>
      <w:r>
        <w:rPr>
          <w:rFonts w:ascii="Times New Roman" w:hAnsi="Times New Roman" w:cs="Times New Roman"/>
          <w:b/>
          <w:bCs/>
          <w:color w:val="000000"/>
          <w:sz w:val="24"/>
          <w:szCs w:val="24"/>
        </w:rPr>
        <w:t xml:space="preserve">. V. </w:t>
      </w:r>
      <w:proofErr w:type="spellStart"/>
      <w:r>
        <w:rPr>
          <w:rFonts w:ascii="Times New Roman" w:hAnsi="Times New Roman" w:cs="Times New Roman"/>
          <w:b/>
          <w:bCs/>
          <w:color w:val="000000"/>
          <w:sz w:val="24"/>
          <w:szCs w:val="24"/>
        </w:rPr>
        <w:t>Asewar</w:t>
      </w:r>
      <w:proofErr w:type="spellEnd"/>
    </w:p>
    <w:p w:rsidR="00FE63F6" w:rsidRDefault="00FE63F6" w:rsidP="00FE63F6">
      <w:pPr>
        <w:shd w:val="clear" w:color="auto" w:fill="FFFFFF"/>
        <w:spacing w:line="240" w:lineRule="auto"/>
        <w:jc w:val="center"/>
        <w:rPr>
          <w:rFonts w:ascii="Times New Roman" w:hAnsi="Times New Roman" w:cs="Times New Roman"/>
          <w:b/>
          <w:bCs/>
          <w:color w:val="1F497D" w:themeColor="text2"/>
          <w:sz w:val="24"/>
          <w:szCs w:val="24"/>
        </w:rPr>
      </w:pPr>
      <w:r>
        <w:pict>
          <v:shapetype id="_x0000_t32" coordsize="21600,21600" o:spt="32" o:oned="t" path="m,l21600,21600e" filled="f">
            <v:path arrowok="t" fillok="f" o:connecttype="none"/>
            <o:lock v:ext="edit" shapetype="t"/>
          </v:shapetype>
          <v:shape id="_x0000_s1026" type="#_x0000_t32" style="position:absolute;left:0;text-align:left;margin-left:-30.65pt;margin-top:15.15pt;width:520.85pt;height:0;z-index:251658240" o:connectortype="straight"/>
        </w:pict>
      </w:r>
      <w:r>
        <w:rPr>
          <w:rFonts w:ascii="Times New Roman" w:hAnsi="Times New Roman" w:cs="Times New Roman"/>
          <w:b/>
          <w:bCs/>
          <w:color w:val="1F497D" w:themeColor="text2"/>
          <w:sz w:val="24"/>
          <w:szCs w:val="24"/>
        </w:rPr>
        <w:t>ofrtcvnmkvparbhani@gmail.com</w:t>
      </w:r>
    </w:p>
    <w:p w:rsidR="00FE63F6" w:rsidRDefault="00FE63F6" w:rsidP="00FE63F6">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ABSTRACT</w:t>
      </w:r>
    </w:p>
    <w:p w:rsidR="00FE63F6" w:rsidRDefault="00FE63F6" w:rsidP="00FE63F6">
      <w:pPr>
        <w:spacing w:after="0"/>
        <w:jc w:val="center"/>
        <w:rPr>
          <w:rFonts w:ascii="Times New Roman" w:hAnsi="Times New Roman" w:cs="Times New Roman"/>
          <w:b/>
          <w:sz w:val="24"/>
          <w:szCs w:val="24"/>
          <w:u w:val="single"/>
        </w:rPr>
      </w:pPr>
    </w:p>
    <w:p w:rsidR="00FE63F6" w:rsidRDefault="00FE63F6" w:rsidP="00FE63F6">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Performance of various crop management practices were evaluated in </w:t>
      </w:r>
      <w:proofErr w:type="spellStart"/>
      <w:r>
        <w:rPr>
          <w:rFonts w:ascii="Times New Roman" w:hAnsi="Times New Roman" w:cs="Times New Roman"/>
          <w:i/>
          <w:sz w:val="24"/>
          <w:szCs w:val="24"/>
        </w:rPr>
        <w:t>kharif</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soybean </w:t>
      </w:r>
      <w:r>
        <w:rPr>
          <w:rFonts w:ascii="Times New Roman" w:hAnsi="Times New Roman" w:cs="Times New Roman"/>
          <w:bCs/>
          <w:color w:val="000000"/>
          <w:sz w:val="24"/>
          <w:szCs w:val="24"/>
        </w:rPr>
        <w:t xml:space="preserve"> in</w:t>
      </w:r>
      <w:proofErr w:type="gramEnd"/>
      <w:r>
        <w:rPr>
          <w:rFonts w:ascii="Times New Roman" w:hAnsi="Times New Roman" w:cs="Times New Roman"/>
          <w:bCs/>
          <w:color w:val="000000"/>
          <w:sz w:val="24"/>
          <w:szCs w:val="24"/>
        </w:rPr>
        <w:t xml:space="preserve"> a field experiment</w:t>
      </w:r>
      <w:r>
        <w:rPr>
          <w:rFonts w:ascii="Times New Roman" w:hAnsi="Times New Roman" w:cs="Times New Roman"/>
          <w:b/>
          <w:bCs/>
          <w:color w:val="000000"/>
          <w:sz w:val="24"/>
          <w:szCs w:val="24"/>
        </w:rPr>
        <w:t xml:space="preserve"> </w:t>
      </w:r>
      <w:r>
        <w:rPr>
          <w:rFonts w:ascii="Times New Roman" w:hAnsi="Times New Roman" w:cs="Times New Roman"/>
          <w:sz w:val="24"/>
          <w:szCs w:val="24"/>
        </w:rPr>
        <w:t>conducted at All India Co-</w:t>
      </w:r>
      <w:proofErr w:type="spellStart"/>
      <w:r>
        <w:rPr>
          <w:rFonts w:ascii="Times New Roman" w:hAnsi="Times New Roman" w:cs="Times New Roman"/>
          <w:sz w:val="24"/>
          <w:szCs w:val="24"/>
        </w:rPr>
        <w:t>ordinated</w:t>
      </w:r>
      <w:proofErr w:type="spellEnd"/>
      <w:r>
        <w:rPr>
          <w:rFonts w:ascii="Times New Roman" w:hAnsi="Times New Roman" w:cs="Times New Roman"/>
          <w:sz w:val="24"/>
          <w:szCs w:val="24"/>
        </w:rPr>
        <w:t xml:space="preserve"> Research Project for  Dry land Agriculture, VNMKV, </w:t>
      </w:r>
      <w:proofErr w:type="spellStart"/>
      <w:r>
        <w:rPr>
          <w:rFonts w:ascii="Times New Roman" w:hAnsi="Times New Roman" w:cs="Times New Roman"/>
          <w:sz w:val="24"/>
          <w:szCs w:val="24"/>
        </w:rPr>
        <w:t>Parbhani</w:t>
      </w:r>
      <w:proofErr w:type="spellEnd"/>
      <w:r>
        <w:rPr>
          <w:rFonts w:ascii="Times New Roman" w:hAnsi="Times New Roman" w:cs="Times New Roman"/>
          <w:sz w:val="24"/>
          <w:szCs w:val="24"/>
        </w:rPr>
        <w:t xml:space="preserve"> in Maharashtra State of India </w:t>
      </w:r>
      <w:r>
        <w:rPr>
          <w:rFonts w:ascii="Times New Roman" w:hAnsi="Times New Roman"/>
          <w:sz w:val="24"/>
          <w:szCs w:val="24"/>
        </w:rPr>
        <w:t xml:space="preserve">during 2015 to 2018 </w:t>
      </w:r>
      <w:r>
        <w:rPr>
          <w:rFonts w:ascii="Times New Roman" w:hAnsi="Times New Roman" w:cs="Times New Roman"/>
          <w:color w:val="000000"/>
          <w:sz w:val="24"/>
          <w:szCs w:val="24"/>
        </w:rPr>
        <w:t xml:space="preserve">by drilling the seeds at spacing 45 cm </w:t>
      </w:r>
      <w:r>
        <w:rPr>
          <w:rFonts w:ascii="Times New Roman" w:hAnsi="Times New Roman" w:cs="Times New Roman"/>
          <w:sz w:val="24"/>
          <w:szCs w:val="24"/>
        </w:rPr>
        <w:t>x</w:t>
      </w:r>
      <w:r>
        <w:rPr>
          <w:rFonts w:ascii="Times New Roman" w:hAnsi="Times New Roman" w:cs="Times New Roman"/>
          <w:color w:val="000000"/>
          <w:sz w:val="24"/>
          <w:szCs w:val="24"/>
        </w:rPr>
        <w:t xml:space="preserve"> 5 cm.</w:t>
      </w:r>
      <w:r>
        <w:rPr>
          <w:rFonts w:ascii="Times New Roman" w:hAnsi="Times New Roman" w:cs="Times New Roman"/>
          <w:sz w:val="24"/>
          <w:szCs w:val="24"/>
        </w:rPr>
        <w:t xml:space="preserve"> The experiment was laid out in a Randomized block design with three treatments i.e. T</w:t>
      </w:r>
      <w:r>
        <w:rPr>
          <w:rFonts w:ascii="Times New Roman" w:hAnsi="Times New Roman" w:cs="Times New Roman"/>
          <w:sz w:val="24"/>
          <w:szCs w:val="24"/>
          <w:vertAlign w:val="subscript"/>
        </w:rPr>
        <w:t>1</w:t>
      </w:r>
      <w:r>
        <w:rPr>
          <w:rFonts w:ascii="Times New Roman" w:hAnsi="Times New Roman" w:cs="Times New Roman"/>
          <w:sz w:val="24"/>
          <w:szCs w:val="24"/>
        </w:rPr>
        <w:t>: Integrated management practice, T</w:t>
      </w:r>
      <w:r>
        <w:rPr>
          <w:rFonts w:ascii="Times New Roman" w:hAnsi="Times New Roman" w:cs="Times New Roman"/>
          <w:sz w:val="24"/>
          <w:szCs w:val="24"/>
          <w:vertAlign w:val="subscript"/>
        </w:rPr>
        <w:t>2</w:t>
      </w:r>
      <w:r>
        <w:rPr>
          <w:rFonts w:ascii="Times New Roman" w:hAnsi="Times New Roman" w:cs="Times New Roman"/>
          <w:sz w:val="24"/>
          <w:szCs w:val="24"/>
        </w:rPr>
        <w:t>: Organic management practice and T</w:t>
      </w:r>
      <w:r>
        <w:rPr>
          <w:rFonts w:ascii="Times New Roman" w:hAnsi="Times New Roman" w:cs="Times New Roman"/>
          <w:sz w:val="24"/>
          <w:szCs w:val="24"/>
          <w:vertAlign w:val="subscript"/>
        </w:rPr>
        <w:t>3</w:t>
      </w:r>
      <w:r>
        <w:rPr>
          <w:rFonts w:ascii="Times New Roman" w:hAnsi="Times New Roman" w:cs="Times New Roman"/>
          <w:sz w:val="24"/>
          <w:szCs w:val="24"/>
        </w:rPr>
        <w:t>: Farmers practice replicated seven times. The recommended cultural practices were followed in addition to nutrient and plant protection measures in respective treatments viz. organic and inorganic sources were used for disease and pest management in respective treatment. Likewise in T</w:t>
      </w:r>
      <w:r>
        <w:rPr>
          <w:rFonts w:ascii="Times New Roman" w:hAnsi="Times New Roman" w:cs="Times New Roman"/>
          <w:sz w:val="24"/>
          <w:szCs w:val="24"/>
          <w:vertAlign w:val="subscript"/>
        </w:rPr>
        <w:t>1</w:t>
      </w:r>
      <w:r>
        <w:rPr>
          <w:rFonts w:ascii="Times New Roman" w:hAnsi="Times New Roman" w:cs="Times New Roman"/>
          <w:sz w:val="24"/>
          <w:szCs w:val="24"/>
        </w:rPr>
        <w:t>: the recommended dose of fertilizer (30:60:30 kg NPK ha</w:t>
      </w:r>
      <w:r>
        <w:rPr>
          <w:rFonts w:ascii="Times New Roman" w:hAnsi="Times New Roman" w:cs="Times New Roman"/>
          <w:sz w:val="24"/>
          <w:szCs w:val="24"/>
          <w:vertAlign w:val="superscript"/>
        </w:rPr>
        <w:t>-1</w:t>
      </w:r>
      <w:r>
        <w:rPr>
          <w:rFonts w:ascii="Times New Roman" w:hAnsi="Times New Roman" w:cs="Times New Roman"/>
          <w:sz w:val="24"/>
          <w:szCs w:val="24"/>
        </w:rPr>
        <w:t>) was applied through chemical fertilizers (Urea, SSP &amp; MOP) plus FYM 5 t/ha. Whereas, in case of T</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it was applied through Rock phosphate, FYM, </w:t>
      </w:r>
      <w:proofErr w:type="spellStart"/>
      <w:r>
        <w:rPr>
          <w:rFonts w:ascii="Times New Roman" w:hAnsi="Times New Roman" w:cs="Times New Roman"/>
          <w:sz w:val="24"/>
          <w:szCs w:val="24"/>
        </w:rPr>
        <w:t>Vermicompost</w:t>
      </w:r>
      <w:proofErr w:type="spellEnd"/>
      <w:r>
        <w:rPr>
          <w:rFonts w:ascii="Times New Roman" w:hAnsi="Times New Roman" w:cs="Times New Roman"/>
          <w:sz w:val="24"/>
          <w:szCs w:val="24"/>
        </w:rPr>
        <w:t xml:space="preserve"> and High Nitro organic compost combination and in case of T</w:t>
      </w:r>
      <w:r>
        <w:rPr>
          <w:rFonts w:ascii="Times New Roman" w:hAnsi="Times New Roman" w:cs="Times New Roman"/>
          <w:sz w:val="24"/>
          <w:szCs w:val="24"/>
          <w:vertAlign w:val="subscript"/>
        </w:rPr>
        <w:t xml:space="preserve">3 </w:t>
      </w:r>
      <w:r>
        <w:rPr>
          <w:rFonts w:ascii="Times New Roman" w:hAnsi="Times New Roman" w:cs="Times New Roman"/>
          <w:sz w:val="24"/>
          <w:szCs w:val="24"/>
        </w:rPr>
        <w:t xml:space="preserve">it was applied through DAP only as farmers usually apply for the soybean in the region as a regular practice avoiding potassium source. </w:t>
      </w:r>
    </w:p>
    <w:p w:rsidR="00FE63F6" w:rsidRDefault="00FE63F6" w:rsidP="00FE63F6">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vertAlign w:val="subscript"/>
        </w:rPr>
        <w:t>1</w:t>
      </w:r>
      <w:r>
        <w:rPr>
          <w:rFonts w:ascii="Times New Roman" w:hAnsi="Times New Roman" w:cs="Times New Roman"/>
          <w:sz w:val="24"/>
          <w:szCs w:val="24"/>
        </w:rPr>
        <w:t xml:space="preserve"> recorded highest yield of soybean (</w:t>
      </w:r>
      <w:r>
        <w:rPr>
          <w:rFonts w:ascii="Times New Roman" w:hAnsi="Times New Roman" w:cs="Times New Roman"/>
          <w:bCs/>
          <w:sz w:val="24"/>
          <w:szCs w:val="24"/>
        </w:rPr>
        <w:t xml:space="preserve">873 kg/ha, </w:t>
      </w:r>
      <w:r>
        <w:rPr>
          <w:rFonts w:ascii="Times New Roman" w:hAnsi="Times New Roman" w:cs="Times New Roman"/>
          <w:sz w:val="24"/>
          <w:szCs w:val="24"/>
        </w:rPr>
        <w:t xml:space="preserve">2193 </w:t>
      </w:r>
      <w:r>
        <w:rPr>
          <w:rFonts w:ascii="Times New Roman" w:hAnsi="Times New Roman" w:cs="Times New Roman"/>
          <w:bCs/>
          <w:sz w:val="24"/>
          <w:szCs w:val="24"/>
        </w:rPr>
        <w:t>kg/ha</w:t>
      </w:r>
      <w:r>
        <w:rPr>
          <w:rFonts w:ascii="Times New Roman" w:hAnsi="Times New Roman" w:cs="Times New Roman"/>
          <w:sz w:val="24"/>
          <w:szCs w:val="24"/>
        </w:rPr>
        <w:t xml:space="preserve">, 1863 kg/ha and 910 </w:t>
      </w:r>
      <w:r>
        <w:rPr>
          <w:rFonts w:ascii="Times New Roman" w:hAnsi="Times New Roman" w:cs="Times New Roman"/>
          <w:bCs/>
          <w:sz w:val="24"/>
          <w:szCs w:val="24"/>
        </w:rPr>
        <w:t>kg/ha)</w:t>
      </w:r>
      <w:r>
        <w:rPr>
          <w:rFonts w:ascii="Times New Roman" w:hAnsi="Times New Roman" w:cs="Times New Roman"/>
          <w:sz w:val="24"/>
          <w:szCs w:val="24"/>
        </w:rPr>
        <w:t xml:space="preserve"> than T</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ascii="Times New Roman" w:hAnsi="Times New Roman" w:cs="Times New Roman"/>
          <w:bCs/>
          <w:sz w:val="24"/>
          <w:szCs w:val="24"/>
        </w:rPr>
        <w:t>604 kg/ha</w:t>
      </w:r>
      <w:r>
        <w:rPr>
          <w:rFonts w:ascii="Times New Roman" w:hAnsi="Times New Roman" w:cs="Times New Roman"/>
          <w:sz w:val="24"/>
          <w:szCs w:val="24"/>
        </w:rPr>
        <w:t>, 1769 kg/ha, 1419 kg/ha and 750 kg/ha) and T</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bCs/>
          <w:sz w:val="24"/>
          <w:szCs w:val="24"/>
        </w:rPr>
        <w:t xml:space="preserve">772 kg/ha, </w:t>
      </w:r>
      <w:r>
        <w:rPr>
          <w:rFonts w:ascii="Times New Roman" w:hAnsi="Times New Roman" w:cs="Times New Roman"/>
          <w:sz w:val="24"/>
          <w:szCs w:val="24"/>
        </w:rPr>
        <w:t>1617 kg/ha 1522 kg/ha and 690 kg/ha.) during 2015, 2016, 2017 and 2018 respectively. Thus, T</w:t>
      </w:r>
      <w:r>
        <w:rPr>
          <w:rFonts w:ascii="Times New Roman" w:hAnsi="Times New Roman" w:cs="Times New Roman"/>
          <w:sz w:val="24"/>
          <w:szCs w:val="24"/>
          <w:vertAlign w:val="subscript"/>
        </w:rPr>
        <w:t>1</w:t>
      </w:r>
      <w:r>
        <w:rPr>
          <w:rFonts w:ascii="Times New Roman" w:hAnsi="Times New Roman" w:cs="Times New Roman"/>
          <w:sz w:val="24"/>
          <w:szCs w:val="24"/>
        </w:rPr>
        <w:t xml:space="preserve"> recorded </w:t>
      </w:r>
      <w:r>
        <w:rPr>
          <w:rFonts w:ascii="Times New Roman" w:hAnsi="Times New Roman" w:cs="Times New Roman"/>
          <w:bCs/>
          <w:sz w:val="24"/>
          <w:szCs w:val="24"/>
        </w:rPr>
        <w:t xml:space="preserve">30%, </w:t>
      </w:r>
      <w:r>
        <w:rPr>
          <w:rFonts w:ascii="Times New Roman" w:hAnsi="Times New Roman" w:cs="Times New Roman"/>
          <w:sz w:val="24"/>
          <w:szCs w:val="24"/>
        </w:rPr>
        <w:t>24 %, 29 % and 17 % higher soybean yield than T</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and </w:t>
      </w:r>
      <w:r>
        <w:rPr>
          <w:rFonts w:ascii="Times New Roman" w:hAnsi="Times New Roman" w:cs="Times New Roman"/>
          <w:bCs/>
          <w:sz w:val="24"/>
          <w:szCs w:val="24"/>
        </w:rPr>
        <w:t xml:space="preserve">30 %, </w:t>
      </w:r>
      <w:r>
        <w:rPr>
          <w:rFonts w:ascii="Times New Roman" w:hAnsi="Times New Roman" w:cs="Times New Roman"/>
          <w:sz w:val="24"/>
          <w:szCs w:val="24"/>
        </w:rPr>
        <w:t>35.62 %, 18 % and 24 % higher yield than T</w:t>
      </w:r>
      <w:r>
        <w:rPr>
          <w:rFonts w:ascii="Times New Roman" w:hAnsi="Times New Roman" w:cs="Times New Roman"/>
          <w:sz w:val="24"/>
          <w:szCs w:val="24"/>
          <w:vertAlign w:val="subscript"/>
        </w:rPr>
        <w:t xml:space="preserve">3 </w:t>
      </w:r>
      <w:r>
        <w:rPr>
          <w:rFonts w:ascii="Times New Roman" w:hAnsi="Times New Roman" w:cs="Times New Roman"/>
          <w:sz w:val="24"/>
          <w:szCs w:val="24"/>
        </w:rPr>
        <w:t>during respective years. However, the soil organic carbon was found to be higher in T</w:t>
      </w:r>
      <w:r>
        <w:rPr>
          <w:rFonts w:ascii="Times New Roman" w:hAnsi="Times New Roman" w:cs="Times New Roman"/>
          <w:sz w:val="24"/>
          <w:szCs w:val="24"/>
          <w:vertAlign w:val="subscript"/>
        </w:rPr>
        <w:t>1</w:t>
      </w:r>
      <w:r>
        <w:rPr>
          <w:rFonts w:ascii="Times New Roman" w:hAnsi="Times New Roman" w:cs="Times New Roman"/>
          <w:sz w:val="24"/>
          <w:szCs w:val="24"/>
        </w:rPr>
        <w:t xml:space="preserve"> for first two years i.e. 0.34 %, 0.34 % during 2015 and 2016 respectively and it was found higher in T</w:t>
      </w:r>
      <w:r>
        <w:rPr>
          <w:rFonts w:ascii="Times New Roman" w:hAnsi="Times New Roman" w:cs="Times New Roman"/>
          <w:sz w:val="24"/>
          <w:szCs w:val="24"/>
          <w:vertAlign w:val="subscript"/>
        </w:rPr>
        <w:t>2</w:t>
      </w:r>
      <w:r>
        <w:rPr>
          <w:rFonts w:ascii="Times New Roman" w:hAnsi="Times New Roman" w:cs="Times New Roman"/>
          <w:sz w:val="24"/>
          <w:szCs w:val="24"/>
        </w:rPr>
        <w:t xml:space="preserve"> i.e. 0.36 % and 0.37 % during 2017 and 2018 respectively.</w:t>
      </w:r>
    </w:p>
    <w:p w:rsidR="00FE63F6" w:rsidRDefault="00FE63F6" w:rsidP="00FE63F6">
      <w:pPr>
        <w:spacing w:after="0"/>
        <w:ind w:firstLine="720"/>
        <w:jc w:val="both"/>
        <w:rPr>
          <w:rFonts w:ascii="Times New Roman" w:hAnsi="Times New Roman" w:cs="Times New Roman"/>
          <w:sz w:val="24"/>
          <w:szCs w:val="24"/>
        </w:rPr>
      </w:pPr>
    </w:p>
    <w:p w:rsidR="00FE63F6" w:rsidRDefault="00FE63F6" w:rsidP="00FE63F6">
      <w:pPr>
        <w:spacing w:after="0"/>
        <w:ind w:firstLine="720"/>
        <w:jc w:val="both"/>
        <w:rPr>
          <w:rFonts w:ascii="Times New Roman" w:hAnsi="Times New Roman" w:cs="Times New Roman"/>
          <w:sz w:val="24"/>
          <w:szCs w:val="24"/>
        </w:rPr>
      </w:pPr>
      <w:r>
        <w:rPr>
          <w:rFonts w:ascii="Times New Roman" w:hAnsi="Times New Roman" w:cs="Times New Roman"/>
          <w:sz w:val="24"/>
          <w:szCs w:val="24"/>
        </w:rPr>
        <w:t>Keywords: Soybean yield, organic management practice, integrated management practice.</w:t>
      </w:r>
    </w:p>
    <w:p w:rsidR="00FE63F6" w:rsidRDefault="00FE63F6" w:rsidP="00FE63F6">
      <w:pPr>
        <w:spacing w:after="0"/>
        <w:ind w:firstLine="720"/>
        <w:jc w:val="both"/>
        <w:rPr>
          <w:rFonts w:ascii="Times New Roman" w:hAnsi="Times New Roman" w:cs="Times New Roman"/>
          <w:sz w:val="24"/>
          <w:szCs w:val="24"/>
        </w:rPr>
      </w:pPr>
    </w:p>
    <w:p w:rsidR="00FE63F6" w:rsidRDefault="00FE63F6" w:rsidP="00FE63F6">
      <w:pPr>
        <w:spacing w:after="0"/>
        <w:ind w:firstLine="720"/>
        <w:jc w:val="both"/>
        <w:rPr>
          <w:rFonts w:ascii="Times New Roman" w:hAnsi="Times New Roman" w:cs="Times New Roman"/>
          <w:sz w:val="24"/>
          <w:szCs w:val="24"/>
        </w:rPr>
      </w:pPr>
    </w:p>
    <w:p w:rsidR="00FE63F6" w:rsidRDefault="00FE63F6" w:rsidP="00FE63F6">
      <w:pPr>
        <w:shd w:val="clear" w:color="auto" w:fill="FFFFFF"/>
        <w:spacing w:after="0" w:line="360" w:lineRule="auto"/>
        <w:jc w:val="both"/>
        <w:rPr>
          <w:rFonts w:ascii="Times New Roman" w:hAnsi="Times New Roman" w:cs="Times New Roman"/>
          <w:bCs/>
          <w:sz w:val="24"/>
          <w:szCs w:val="24"/>
        </w:rPr>
      </w:pPr>
    </w:p>
    <w:p w:rsidR="0062623E" w:rsidRDefault="0062623E"/>
    <w:sectPr w:rsidR="0062623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8"/>
  <w:proofState w:spelling="clean" w:grammar="clean"/>
  <w:defaultTabStop w:val="720"/>
  <w:characterSpacingControl w:val="doNotCompress"/>
  <w:compat>
    <w:useFELayout/>
  </w:compat>
  <w:rsids>
    <w:rsidRoot w:val="00FE63F6"/>
    <w:rsid w:val="0062623E"/>
    <w:rsid w:val="00B07584"/>
    <w:rsid w:val="00FE63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7656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1793</Characters>
  <Application>Microsoft Office Word</Application>
  <DocSecurity>0</DocSecurity>
  <Lines>14</Lines>
  <Paragraphs>4</Paragraphs>
  <ScaleCrop>false</ScaleCrop>
  <Company>Grizli777</Company>
  <LinksUpToDate>false</LinksUpToDate>
  <CharactersWithSpaces>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2019-09-20T17:03:00Z</dcterms:created>
  <dcterms:modified xsi:type="dcterms:W3CDTF">2019-09-20T17:05:00Z</dcterms:modified>
</cp:coreProperties>
</file>