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E01BF" w:rsidP="005E01BF">
      <w:pPr>
        <w:pStyle w:val="Heading1"/>
        <w:spacing w:before="170"/>
        <w:ind w:left="0"/>
        <w:jc w:val="center"/>
      </w:pPr>
      <w:r>
        <w:rPr>
          <w:color w:val="337AB7"/>
        </w:rPr>
        <w:t>Status and Eco-friendly Management of Alternaria Leaf Spot of Brinjal in Kashmir Valley</w:t>
      </w:r>
    </w:p>
    <w:p w:rsidR="0090421E" w:rsidRDefault="005E01BF" w:rsidP="0090421E">
      <w:pPr>
        <w:pStyle w:val="BodyText"/>
        <w:spacing w:before="73" w:line="198" w:lineRule="exact"/>
        <w:ind w:right="5987"/>
        <w:rPr>
          <w:rFonts w:ascii="Arial"/>
        </w:rPr>
      </w:pPr>
      <w:r>
        <w:rPr>
          <w:rFonts w:ascii="Arial"/>
        </w:rPr>
        <w:t>ZAKIR K RAINA</w:t>
      </w:r>
      <w:r w:rsidR="005973B9">
        <w:rPr>
          <w:rFonts w:ascii="Arial"/>
        </w:rPr>
        <w:t xml:space="preserve">, </w:t>
      </w:r>
      <w:r>
        <w:rPr>
          <w:rFonts w:ascii="Arial"/>
        </w:rPr>
        <w:t>SKUAST-K</w:t>
      </w:r>
      <w:r w:rsidR="005973B9">
        <w:rPr>
          <w:rFonts w:ascii="Arial"/>
        </w:rPr>
        <w:t xml:space="preserve">, </w:t>
      </w:r>
      <w:r>
        <w:rPr>
          <w:rFonts w:ascii="Arial"/>
        </w:rPr>
        <w:t>J</w:t>
      </w:r>
      <w:r w:rsidR="0090421E">
        <w:rPr>
          <w:rFonts w:ascii="Arial"/>
        </w:rPr>
        <w:t>ammu</w:t>
      </w:r>
      <w:r>
        <w:rPr>
          <w:rFonts w:ascii="Arial"/>
        </w:rPr>
        <w:t xml:space="preserve"> and K</w:t>
      </w:r>
      <w:r w:rsidR="0090421E">
        <w:rPr>
          <w:rFonts w:ascii="Arial"/>
        </w:rPr>
        <w:t>ashmir</w:t>
      </w:r>
      <w:r>
        <w:rPr>
          <w:rFonts w:ascii="Arial"/>
        </w:rPr>
        <w:t xml:space="preserve">, </w:t>
      </w:r>
    </w:p>
    <w:p w:rsidR="0090421E" w:rsidRDefault="0090421E" w:rsidP="0090421E">
      <w:pPr>
        <w:pStyle w:val="BodyText"/>
        <w:spacing w:before="73" w:line="198" w:lineRule="exact"/>
        <w:ind w:right="5987"/>
        <w:rPr>
          <w:rFonts w:ascii="Arial"/>
        </w:rPr>
      </w:pPr>
      <w:r>
        <w:rPr>
          <w:rFonts w:ascii="Arial"/>
        </w:rPr>
        <w:t xml:space="preserve"> Dr. T.A. </w:t>
      </w:r>
      <w:proofErr w:type="spellStart"/>
      <w:r>
        <w:rPr>
          <w:rFonts w:ascii="Arial"/>
        </w:rPr>
        <w:t>Wani</w:t>
      </w:r>
      <w:proofErr w:type="spellEnd"/>
      <w:r>
        <w:rPr>
          <w:rFonts w:ascii="Arial"/>
        </w:rPr>
        <w:t xml:space="preserve">, Assistant Professor </w:t>
      </w:r>
      <w:proofErr w:type="spellStart"/>
      <w:r>
        <w:rPr>
          <w:rFonts w:ascii="Arial"/>
        </w:rPr>
        <w:t>Skuast</w:t>
      </w:r>
      <w:proofErr w:type="spellEnd"/>
      <w:r>
        <w:rPr>
          <w:rFonts w:ascii="Arial"/>
        </w:rPr>
        <w:t>-K, Jammu         and Kashmir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w:t>
      </w:r>
    </w:p>
    <w:p w:rsidR="005E01BF" w:rsidRPr="005E01BF" w:rsidRDefault="005E01BF" w:rsidP="005E01BF">
      <w:pPr>
        <w:spacing w:before="120" w:after="120"/>
        <w:jc w:val="both"/>
        <w:rPr>
          <w:rFonts w:ascii="Times New Roman" w:hAnsi="Times New Roman" w:cs="Times New Roman"/>
          <w:sz w:val="24"/>
          <w:szCs w:val="24"/>
        </w:rPr>
      </w:pPr>
      <w:r w:rsidRPr="00D44F30">
        <w:rPr>
          <w:rFonts w:ascii="Times New Roman" w:hAnsi="Times New Roman" w:cs="Times New Roman"/>
        </w:rPr>
        <w:t xml:space="preserve">Alternaria leaf spot caused by </w:t>
      </w:r>
      <w:r w:rsidRPr="00D44F30">
        <w:rPr>
          <w:rFonts w:ascii="Times New Roman" w:hAnsi="Times New Roman" w:cs="Times New Roman"/>
          <w:i/>
        </w:rPr>
        <w:t>Alternaria alternata</w:t>
      </w:r>
      <w:r w:rsidRPr="00D44F30">
        <w:rPr>
          <w:rFonts w:ascii="Times New Roman" w:hAnsi="Times New Roman" w:cs="Times New Roman"/>
        </w:rPr>
        <w:t xml:space="preserve"> is one of the important folliar disease</w:t>
      </w:r>
      <w:r>
        <w:rPr>
          <w:rFonts w:ascii="Times New Roman" w:hAnsi="Times New Roman" w:cs="Times New Roman"/>
        </w:rPr>
        <w:t>s</w:t>
      </w:r>
      <w:r w:rsidRPr="00D44F30">
        <w:rPr>
          <w:rFonts w:ascii="Times New Roman" w:hAnsi="Times New Roman" w:cs="Times New Roman"/>
        </w:rPr>
        <w:t xml:space="preserve"> of brinjal (</w:t>
      </w:r>
      <w:r w:rsidRPr="00D44F30">
        <w:rPr>
          <w:rFonts w:ascii="Times New Roman" w:hAnsi="Times New Roman" w:cs="Times New Roman"/>
          <w:i/>
        </w:rPr>
        <w:t>Solanum melongena</w:t>
      </w:r>
      <w:r w:rsidRPr="00D44F30">
        <w:rPr>
          <w:rFonts w:ascii="Times New Roman" w:hAnsi="Times New Roman" w:cs="Times New Roman"/>
        </w:rPr>
        <w:t xml:space="preserve"> L.)  The present </w:t>
      </w:r>
      <w:r>
        <w:rPr>
          <w:rFonts w:ascii="Times New Roman" w:hAnsi="Times New Roman" w:cs="Times New Roman"/>
        </w:rPr>
        <w:t xml:space="preserve">study </w:t>
      </w:r>
      <w:r w:rsidRPr="00D44F30">
        <w:rPr>
          <w:rFonts w:ascii="Times New Roman" w:hAnsi="Times New Roman" w:cs="Times New Roman"/>
        </w:rPr>
        <w:t xml:space="preserve">on status and eco-friendly management of Alternaria leaf spot of brinjal in Kashmir valley was conducted during </w:t>
      </w:r>
      <w:r>
        <w:rPr>
          <w:rFonts w:ascii="Times New Roman" w:hAnsi="Times New Roman" w:cs="Times New Roman"/>
        </w:rPr>
        <w:t xml:space="preserve">kharif </w:t>
      </w:r>
      <w:r w:rsidRPr="00D44F30">
        <w:rPr>
          <w:rFonts w:ascii="Times New Roman" w:hAnsi="Times New Roman" w:cs="Times New Roman"/>
        </w:rPr>
        <w:t>2016. An extensive survey conducted in three districts of Kashmir valley viz., Anantnag, Baramulla, and Budgam revealed that disease was preva</w:t>
      </w:r>
      <w:r>
        <w:rPr>
          <w:rFonts w:ascii="Times New Roman" w:hAnsi="Times New Roman" w:cs="Times New Roman"/>
        </w:rPr>
        <w:t>lent in all the three districts with m</w:t>
      </w:r>
      <w:r w:rsidRPr="00D44F30">
        <w:rPr>
          <w:rFonts w:ascii="Times New Roman" w:hAnsi="Times New Roman" w:cs="Times New Roman"/>
        </w:rPr>
        <w:t>ean disease incidence and intensity of 30.76</w:t>
      </w:r>
      <w:r>
        <w:rPr>
          <w:rFonts w:ascii="Times New Roman" w:hAnsi="Times New Roman" w:cs="Times New Roman"/>
        </w:rPr>
        <w:t xml:space="preserve"> </w:t>
      </w:r>
      <w:r w:rsidRPr="00D44F30">
        <w:rPr>
          <w:rFonts w:ascii="Times New Roman" w:hAnsi="Times New Roman" w:cs="Times New Roman"/>
        </w:rPr>
        <w:t>and 9.77 per cent</w:t>
      </w:r>
      <w:r>
        <w:rPr>
          <w:rFonts w:ascii="Times New Roman" w:hAnsi="Times New Roman" w:cs="Times New Roman"/>
        </w:rPr>
        <w:t>.</w:t>
      </w:r>
      <w:r w:rsidRPr="00D44F30">
        <w:rPr>
          <w:rFonts w:ascii="Times New Roman" w:hAnsi="Times New Roman" w:cs="Times New Roman"/>
        </w:rPr>
        <w:t xml:space="preserve"> The maximum disease incidence of 38. 68 and intensity of 14.07 per cent was observed in district Budgam and minimum disease incidence of 21.73 and intensity of 5.88 per cent was observed in district Anantnag. </w:t>
      </w:r>
      <w:r w:rsidRPr="00FE6F09">
        <w:rPr>
          <w:rFonts w:ascii="Times New Roman" w:hAnsi="Times New Roman" w:cs="Times New Roman"/>
          <w:sz w:val="24"/>
          <w:szCs w:val="24"/>
        </w:rPr>
        <w:t xml:space="preserve">The pathogen associated with the disease was identified as </w:t>
      </w:r>
      <w:r w:rsidRPr="00FE6F09">
        <w:rPr>
          <w:rFonts w:ascii="Times New Roman" w:hAnsi="Times New Roman" w:cs="Times New Roman"/>
          <w:i/>
          <w:sz w:val="24"/>
          <w:szCs w:val="24"/>
        </w:rPr>
        <w:t xml:space="preserve">Alternaria </w:t>
      </w:r>
      <w:r>
        <w:rPr>
          <w:rFonts w:ascii="Times New Roman" w:hAnsi="Times New Roman" w:cs="Times New Roman"/>
          <w:i/>
        </w:rPr>
        <w:t>alternata</w:t>
      </w:r>
      <w:r>
        <w:rPr>
          <w:rFonts w:ascii="Times New Roman" w:hAnsi="Times New Roman" w:cs="Times New Roman"/>
          <w:sz w:val="24"/>
          <w:szCs w:val="24"/>
        </w:rPr>
        <w:t xml:space="preserve"> producing s</w:t>
      </w:r>
      <w:r w:rsidRPr="00FE6F09">
        <w:rPr>
          <w:rFonts w:ascii="Times New Roman" w:hAnsi="Times New Roman" w:cs="Times New Roman"/>
          <w:sz w:val="24"/>
          <w:szCs w:val="24"/>
        </w:rPr>
        <w:t>hort straight or flexuous conidiophores which bear ovoid, obclavate conidia with or without apical beak.</w:t>
      </w:r>
      <w:r w:rsidRPr="005B479C">
        <w:rPr>
          <w:rFonts w:ascii="Times New Roman" w:hAnsi="Times New Roman" w:cs="Times New Roman"/>
          <w:sz w:val="24"/>
          <w:szCs w:val="24"/>
        </w:rPr>
        <w:t xml:space="preserve"> </w:t>
      </w:r>
      <w:r w:rsidRPr="00FE6F09">
        <w:rPr>
          <w:rFonts w:ascii="Times New Roman" w:hAnsi="Times New Roman" w:cs="Times New Roman"/>
          <w:sz w:val="24"/>
          <w:szCs w:val="24"/>
        </w:rPr>
        <w:t>The average size of conidiophores was</w:t>
      </w:r>
      <w:r>
        <w:rPr>
          <w:rFonts w:ascii="Times New Roman" w:hAnsi="Times New Roman" w:cs="Times New Roman"/>
          <w:sz w:val="24"/>
          <w:szCs w:val="24"/>
        </w:rPr>
        <w:t xml:space="preserve"> </w:t>
      </w:r>
      <w:r w:rsidRPr="005B479C">
        <w:rPr>
          <w:rFonts w:ascii="Times New Roman" w:hAnsi="Times New Roman" w:cs="Times New Roman"/>
          <w:sz w:val="24"/>
          <w:szCs w:val="24"/>
        </w:rPr>
        <w:t>72 x 5.9</w:t>
      </w:r>
      <w:r w:rsidRPr="00FE6F09">
        <w:rPr>
          <w:rFonts w:ascii="Times New Roman" w:hAnsi="Times New Roman" w:cs="Times New Roman"/>
          <w:sz w:val="24"/>
          <w:szCs w:val="24"/>
        </w:rPr>
        <w:t xml:space="preserve">µm and </w:t>
      </w:r>
      <w:r>
        <w:rPr>
          <w:rFonts w:ascii="Times New Roman" w:hAnsi="Times New Roman" w:cs="Times New Roman"/>
          <w:sz w:val="24"/>
          <w:szCs w:val="24"/>
        </w:rPr>
        <w:t>that of</w:t>
      </w:r>
      <w:r w:rsidRPr="00FE6F09">
        <w:rPr>
          <w:rFonts w:ascii="Times New Roman" w:hAnsi="Times New Roman" w:cs="Times New Roman"/>
          <w:sz w:val="24"/>
          <w:szCs w:val="24"/>
        </w:rPr>
        <w:t xml:space="preserve"> conidia was </w:t>
      </w:r>
      <w:r w:rsidRPr="000328E2">
        <w:rPr>
          <w:rFonts w:ascii="Times New Roman" w:hAnsi="Times New Roman" w:cs="Times New Roman"/>
          <w:sz w:val="24"/>
          <w:szCs w:val="24"/>
        </w:rPr>
        <w:t>47.14 x 14.02</w:t>
      </w:r>
      <w:r w:rsidRPr="00FE6F09">
        <w:rPr>
          <w:rFonts w:ascii="Times New Roman" w:hAnsi="Times New Roman" w:cs="Times New Roman"/>
          <w:sz w:val="24"/>
          <w:szCs w:val="24"/>
        </w:rPr>
        <w:t xml:space="preserve">µm. Conidia </w:t>
      </w:r>
      <w:r>
        <w:rPr>
          <w:rFonts w:ascii="Times New Roman" w:hAnsi="Times New Roman" w:cs="Times New Roman"/>
          <w:sz w:val="24"/>
          <w:szCs w:val="24"/>
        </w:rPr>
        <w:t xml:space="preserve">were borne in chains up to 10 or more on conidiophores </w:t>
      </w:r>
      <w:r w:rsidRPr="00FE6F09">
        <w:rPr>
          <w:rFonts w:ascii="Times New Roman" w:hAnsi="Times New Roman" w:cs="Times New Roman"/>
          <w:sz w:val="24"/>
          <w:szCs w:val="24"/>
        </w:rPr>
        <w:t>bear both longitudinal and transv</w:t>
      </w:r>
      <w:r>
        <w:rPr>
          <w:rFonts w:ascii="Times New Roman" w:hAnsi="Times New Roman" w:cs="Times New Roman"/>
          <w:sz w:val="24"/>
          <w:szCs w:val="24"/>
        </w:rPr>
        <w:t>erse septa ranging from 0-3 and 1-6,</w:t>
      </w:r>
      <w:r w:rsidRPr="00FE6F09">
        <w:rPr>
          <w:rFonts w:ascii="Times New Roman" w:hAnsi="Times New Roman" w:cs="Times New Roman"/>
          <w:sz w:val="24"/>
          <w:szCs w:val="24"/>
        </w:rPr>
        <w:t xml:space="preserve"> respectively. Maximum disease development in the</w:t>
      </w:r>
      <w:r>
        <w:rPr>
          <w:rFonts w:ascii="Times New Roman" w:hAnsi="Times New Roman" w:cs="Times New Roman"/>
          <w:sz w:val="24"/>
          <w:szCs w:val="24"/>
        </w:rPr>
        <w:t xml:space="preserve"> field was observed during first fortnight of July wherein the </w:t>
      </w:r>
      <w:r w:rsidRPr="00FE6F09">
        <w:rPr>
          <w:rFonts w:ascii="Times New Roman" w:hAnsi="Times New Roman" w:cs="Times New Roman"/>
          <w:sz w:val="24"/>
          <w:szCs w:val="24"/>
        </w:rPr>
        <w:t xml:space="preserve">spots attained maximum size of </w:t>
      </w:r>
      <w:r>
        <w:rPr>
          <w:rFonts w:ascii="Times New Roman" w:hAnsi="Times New Roman" w:cs="Times New Roman"/>
          <w:sz w:val="24"/>
          <w:szCs w:val="24"/>
        </w:rPr>
        <w:t>2.5</w:t>
      </w:r>
      <w:r w:rsidRPr="00FE6F09">
        <w:rPr>
          <w:rFonts w:ascii="Times New Roman" w:hAnsi="Times New Roman" w:cs="Times New Roman"/>
          <w:color w:val="C0504D" w:themeColor="accent2"/>
          <w:sz w:val="24"/>
          <w:szCs w:val="24"/>
        </w:rPr>
        <w:t xml:space="preserve"> </w:t>
      </w:r>
      <w:r w:rsidRPr="00FE6F09">
        <w:rPr>
          <w:rFonts w:ascii="Times New Roman" w:hAnsi="Times New Roman" w:cs="Times New Roman"/>
          <w:sz w:val="24"/>
          <w:szCs w:val="24"/>
        </w:rPr>
        <w:t xml:space="preserve">cm. </w:t>
      </w:r>
      <w:r w:rsidRPr="00D44F30">
        <w:rPr>
          <w:rFonts w:ascii="Times New Roman" w:hAnsi="Times New Roman" w:cs="Times New Roman"/>
        </w:rPr>
        <w:t xml:space="preserve">The </w:t>
      </w:r>
      <w:r w:rsidRPr="00D44F30">
        <w:rPr>
          <w:rFonts w:ascii="Times New Roman" w:hAnsi="Times New Roman" w:cs="Times New Roman"/>
          <w:i/>
          <w:iCs/>
        </w:rPr>
        <w:t xml:space="preserve">in vitro </w:t>
      </w:r>
      <w:r w:rsidRPr="00D44F30">
        <w:rPr>
          <w:rFonts w:ascii="Times New Roman" w:hAnsi="Times New Roman" w:cs="Times New Roman"/>
        </w:rPr>
        <w:t>efficacy of various bio-agents  and plant</w:t>
      </w:r>
      <w:r w:rsidRPr="00D44F30">
        <w:rPr>
          <w:rFonts w:ascii="Times New Roman" w:hAnsi="Times New Roman" w:cs="Times New Roman"/>
          <w:i/>
          <w:iCs/>
        </w:rPr>
        <w:t xml:space="preserve"> </w:t>
      </w:r>
      <w:r w:rsidRPr="00D44F30">
        <w:rPr>
          <w:rFonts w:ascii="Times New Roman" w:hAnsi="Times New Roman" w:cs="Times New Roman"/>
        </w:rPr>
        <w:t>extracts was carried out and among bio-agents</w:t>
      </w:r>
      <w:r w:rsidRPr="00D44F30">
        <w:rPr>
          <w:rFonts w:ascii="Times New Roman" w:hAnsi="Times New Roman" w:cs="Times New Roman"/>
          <w:i/>
          <w:iCs/>
        </w:rPr>
        <w:t xml:space="preserve"> Trichoderma harzianum </w:t>
      </w:r>
      <w:r w:rsidRPr="00D44F30">
        <w:rPr>
          <w:rFonts w:ascii="Times New Roman" w:hAnsi="Times New Roman" w:cs="Times New Roman"/>
        </w:rPr>
        <w:t xml:space="preserve">was found best (81.11% inhibition) and among plant extracts Garlic </w:t>
      </w:r>
      <w:r>
        <w:rPr>
          <w:rFonts w:ascii="Times New Roman" w:hAnsi="Times New Roman" w:cs="Times New Roman"/>
        </w:rPr>
        <w:t>bulb</w:t>
      </w:r>
      <w:r w:rsidRPr="00D44F30">
        <w:rPr>
          <w:rFonts w:ascii="Times New Roman" w:hAnsi="Times New Roman" w:cs="Times New Roman"/>
        </w:rPr>
        <w:t xml:space="preserve"> extract inhibited maximum mycelial growth of </w:t>
      </w:r>
      <w:r w:rsidRPr="00D44F30">
        <w:rPr>
          <w:rFonts w:ascii="Times New Roman" w:hAnsi="Times New Roman" w:cs="Times New Roman"/>
          <w:i/>
          <w:iCs/>
        </w:rPr>
        <w:t xml:space="preserve">A. alternata </w:t>
      </w:r>
      <w:r w:rsidRPr="00D44F30">
        <w:rPr>
          <w:rFonts w:ascii="Times New Roman" w:hAnsi="Times New Roman" w:cs="Times New Roman"/>
        </w:rPr>
        <w:lastRenderedPageBreak/>
        <w:t xml:space="preserve">(80.22%) followed by Datura leaf extract (63.11%) and Nettle leaf extract (56.67%). In field experiment highest disease control of 73.79 per cent was achieved through seed treatment with </w:t>
      </w:r>
      <w:r w:rsidRPr="00D44F30">
        <w:rPr>
          <w:rFonts w:ascii="Times New Roman" w:hAnsi="Times New Roman" w:cs="Times New Roman"/>
          <w:i/>
        </w:rPr>
        <w:t xml:space="preserve">T. harzianum </w:t>
      </w:r>
      <w:r w:rsidRPr="00D44F30">
        <w:rPr>
          <w:rFonts w:ascii="Times New Roman" w:hAnsi="Times New Roman" w:cs="Times New Roman"/>
        </w:rPr>
        <w:t xml:space="preserve">and foliar spray with Garlic </w:t>
      </w:r>
      <w:r>
        <w:rPr>
          <w:rFonts w:ascii="Times New Roman" w:hAnsi="Times New Roman" w:cs="Times New Roman"/>
        </w:rPr>
        <w:t>bulb</w:t>
      </w:r>
      <w:r w:rsidRPr="00D44F30">
        <w:rPr>
          <w:rFonts w:ascii="Times New Roman" w:hAnsi="Times New Roman" w:cs="Times New Roman"/>
        </w:rPr>
        <w:t xml:space="preserve"> extract followed by </w:t>
      </w:r>
      <w:r w:rsidRPr="00D44F30">
        <w:rPr>
          <w:rFonts w:ascii="Times New Roman" w:hAnsi="Times New Roman" w:cs="Times New Roman"/>
          <w:i/>
        </w:rPr>
        <w:t xml:space="preserve">T. viride </w:t>
      </w:r>
      <w:r w:rsidRPr="00D44F30">
        <w:rPr>
          <w:rFonts w:ascii="Times New Roman" w:hAnsi="Times New Roman" w:cs="Times New Roman"/>
        </w:rPr>
        <w:t xml:space="preserve">and Garlic </w:t>
      </w:r>
      <w:r>
        <w:rPr>
          <w:rFonts w:ascii="Times New Roman" w:hAnsi="Times New Roman" w:cs="Times New Roman"/>
        </w:rPr>
        <w:t>bulb</w:t>
      </w:r>
      <w:r w:rsidRPr="00D44F30">
        <w:rPr>
          <w:rFonts w:ascii="Times New Roman" w:hAnsi="Times New Roman" w:cs="Times New Roman"/>
        </w:rPr>
        <w:t xml:space="preserve"> extract (63.98%). The eco-friendly disease management was developed which showed that seed treatment with </w:t>
      </w:r>
      <w:r w:rsidRPr="00D44F30">
        <w:rPr>
          <w:rFonts w:ascii="Times New Roman" w:hAnsi="Times New Roman" w:cs="Times New Roman"/>
          <w:i/>
        </w:rPr>
        <w:t xml:space="preserve">T. harzianum </w:t>
      </w:r>
      <w:r w:rsidRPr="00D44F30">
        <w:rPr>
          <w:rFonts w:ascii="Times New Roman" w:hAnsi="Times New Roman" w:cs="Times New Roman"/>
        </w:rPr>
        <w:t xml:space="preserve">and foliar spray with Garlic </w:t>
      </w:r>
      <w:r>
        <w:rPr>
          <w:rFonts w:ascii="Times New Roman" w:hAnsi="Times New Roman" w:cs="Times New Roman"/>
        </w:rPr>
        <w:t>bulb</w:t>
      </w:r>
      <w:r w:rsidRPr="00D44F30">
        <w:rPr>
          <w:rFonts w:ascii="Times New Roman" w:hAnsi="Times New Roman" w:cs="Times New Roman"/>
        </w:rPr>
        <w:t xml:space="preserve"> extract could effectively manage the disease with lowest disease intensity of 9.05 per cent </w:t>
      </w:r>
      <w:r>
        <w:rPr>
          <w:rFonts w:ascii="Times New Roman" w:hAnsi="Times New Roman" w:cs="Times New Roman"/>
        </w:rPr>
        <w:t xml:space="preserve">and </w:t>
      </w:r>
      <w:r w:rsidRPr="00D44F30">
        <w:rPr>
          <w:rFonts w:ascii="Times New Roman" w:hAnsi="Times New Roman" w:cs="Times New Roman"/>
        </w:rPr>
        <w:t xml:space="preserve">highest fruit yield of 197.80 q/ha, as compared to control plot </w:t>
      </w:r>
      <w:r>
        <w:rPr>
          <w:rFonts w:ascii="Times New Roman" w:hAnsi="Times New Roman" w:cs="Times New Roman"/>
        </w:rPr>
        <w:t xml:space="preserve">showing </w:t>
      </w:r>
      <w:r w:rsidRPr="00D44F30">
        <w:rPr>
          <w:rFonts w:ascii="Times New Roman" w:hAnsi="Times New Roman" w:cs="Times New Roman"/>
        </w:rPr>
        <w:t>highest disease intensity of 34.51per cent with lowest fruit yield of 106.46 q/ha.</w:t>
      </w: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D54EAD" w:rsidRPr="00D54EAD" w:rsidRDefault="00D54EAD" w:rsidP="005973B9">
      <w:pPr>
        <w:spacing w:line="204" w:lineRule="exact"/>
        <w:rPr>
          <w:rFonts w:ascii="Times New Roman" w:hAnsi="Times New Roman" w:cs="Times New Roman"/>
          <w:sz w:val="23"/>
          <w:szCs w:val="23"/>
        </w:rPr>
      </w:pPr>
      <w:r w:rsidRPr="00D54EAD">
        <w:rPr>
          <w:rFonts w:ascii="Times New Roman" w:hAnsi="Times New Roman" w:cs="Times New Roman"/>
          <w:sz w:val="23"/>
          <w:szCs w:val="23"/>
        </w:rPr>
        <w:t xml:space="preserve">Bochalya, S.M., Shkhawat, S.M., Singh, R. and Chohan, P.K. 2013. Studies on age of fruit, age of inoculum and inoculum load on development of Alternaria fruit rot of brinjal caused by </w:t>
      </w:r>
      <w:r w:rsidRPr="00D54EAD">
        <w:rPr>
          <w:rFonts w:ascii="Times New Roman" w:hAnsi="Times New Roman" w:cs="Times New Roman"/>
          <w:i/>
          <w:iCs/>
          <w:sz w:val="23"/>
          <w:szCs w:val="23"/>
        </w:rPr>
        <w:t xml:space="preserve">Alternaria alternata. Annals of Agri Bio Research </w:t>
      </w:r>
      <w:r w:rsidRPr="00D54EAD">
        <w:rPr>
          <w:rFonts w:ascii="Times New Roman" w:hAnsi="Times New Roman" w:cs="Times New Roman"/>
          <w:b/>
          <w:bCs/>
          <w:sz w:val="23"/>
          <w:szCs w:val="23"/>
        </w:rPr>
        <w:t>18</w:t>
      </w:r>
      <w:r w:rsidRPr="00D54EAD">
        <w:rPr>
          <w:rFonts w:ascii="Times New Roman" w:hAnsi="Times New Roman" w:cs="Times New Roman"/>
          <w:sz w:val="23"/>
          <w:szCs w:val="23"/>
        </w:rPr>
        <w:t xml:space="preserve">: 388-390. </w:t>
      </w:r>
    </w:p>
    <w:p w:rsidR="00D54EAD" w:rsidRPr="00D54EAD" w:rsidRDefault="00D54EAD" w:rsidP="008756E6">
      <w:pPr>
        <w:tabs>
          <w:tab w:val="left" w:pos="384"/>
        </w:tabs>
        <w:ind w:right="117"/>
        <w:rPr>
          <w:rFonts w:ascii="Times New Roman" w:hAnsi="Times New Roman" w:cs="Times New Roman"/>
        </w:rPr>
      </w:pPr>
      <w:r w:rsidRPr="00D54EAD">
        <w:rPr>
          <w:rFonts w:ascii="Times New Roman" w:hAnsi="Times New Roman" w:cs="Times New Roman"/>
          <w:sz w:val="23"/>
          <w:szCs w:val="23"/>
        </w:rPr>
        <w:t xml:space="preserve">Ganie, S.A., Ghani, Y.M. and Rehman, S. (2013). Bio efficacy of plant extracts and bio control agents against Alternaria solani. </w:t>
      </w:r>
      <w:r w:rsidRPr="00D54EAD">
        <w:rPr>
          <w:rFonts w:ascii="Times New Roman" w:hAnsi="Times New Roman" w:cs="Times New Roman"/>
          <w:i/>
          <w:iCs/>
          <w:sz w:val="23"/>
          <w:szCs w:val="23"/>
        </w:rPr>
        <w:t>African Journal of Microbiology Research</w:t>
      </w:r>
      <w:r w:rsidRPr="00D54EAD">
        <w:rPr>
          <w:rFonts w:ascii="Times New Roman" w:hAnsi="Times New Roman" w:cs="Times New Roman"/>
          <w:b/>
          <w:bCs/>
          <w:sz w:val="23"/>
          <w:szCs w:val="23"/>
        </w:rPr>
        <w:t>, 7</w:t>
      </w:r>
      <w:r w:rsidRPr="00D54EAD">
        <w:rPr>
          <w:rFonts w:ascii="Times New Roman" w:hAnsi="Times New Roman" w:cs="Times New Roman"/>
          <w:sz w:val="23"/>
          <w:szCs w:val="23"/>
        </w:rPr>
        <w:t>: 4397-4402.</w:t>
      </w:r>
    </w:p>
    <w:p w:rsidR="00D54EAD" w:rsidRPr="00D54EAD" w:rsidRDefault="00D54EAD" w:rsidP="005973B9">
      <w:pPr>
        <w:spacing w:line="204" w:lineRule="exact"/>
        <w:rPr>
          <w:rFonts w:ascii="Times New Roman" w:hAnsi="Times New Roman" w:cs="Times New Roman"/>
          <w:sz w:val="23"/>
          <w:szCs w:val="23"/>
        </w:rPr>
      </w:pPr>
      <w:r w:rsidRPr="00D54EAD">
        <w:rPr>
          <w:rFonts w:ascii="Times New Roman" w:hAnsi="Times New Roman" w:cs="Times New Roman"/>
          <w:sz w:val="23"/>
          <w:szCs w:val="23"/>
        </w:rPr>
        <w:t xml:space="preserve">Raja, P. and Reddy, A.V. 2008. Efficacy of Fungicides against leaf spot of eggplant caused by </w:t>
      </w:r>
      <w:r w:rsidRPr="00D54EAD">
        <w:rPr>
          <w:rFonts w:ascii="Times New Roman" w:hAnsi="Times New Roman" w:cs="Times New Roman"/>
          <w:i/>
          <w:iCs/>
          <w:sz w:val="23"/>
          <w:szCs w:val="23"/>
        </w:rPr>
        <w:t xml:space="preserve">Alternaria tenuissima Annals of plant protection science </w:t>
      </w:r>
      <w:r w:rsidRPr="00D54EAD">
        <w:rPr>
          <w:rFonts w:ascii="Times New Roman" w:hAnsi="Times New Roman" w:cs="Times New Roman"/>
          <w:b/>
          <w:bCs/>
          <w:sz w:val="23"/>
          <w:szCs w:val="23"/>
        </w:rPr>
        <w:t>16</w:t>
      </w:r>
      <w:r w:rsidRPr="00D54EAD">
        <w:rPr>
          <w:rFonts w:ascii="Times New Roman" w:hAnsi="Times New Roman" w:cs="Times New Roman"/>
          <w:sz w:val="23"/>
          <w:szCs w:val="23"/>
        </w:rPr>
        <w:t xml:space="preserve">: 203-267. </w:t>
      </w:r>
    </w:p>
    <w:p w:rsidR="00D54EAD" w:rsidRPr="00D54EAD" w:rsidRDefault="00D54EAD" w:rsidP="008756E6">
      <w:pPr>
        <w:tabs>
          <w:tab w:val="left" w:pos="384"/>
        </w:tabs>
        <w:ind w:right="117"/>
        <w:rPr>
          <w:rFonts w:ascii="Times New Roman" w:hAnsi="Times New Roman" w:cs="Times New Roman"/>
          <w:sz w:val="18"/>
          <w:szCs w:val="18"/>
        </w:rPr>
      </w:pPr>
      <w:r w:rsidRPr="00D54EAD">
        <w:rPr>
          <w:rFonts w:ascii="Times New Roman" w:hAnsi="Times New Roman" w:cs="Times New Roman"/>
          <w:sz w:val="23"/>
          <w:szCs w:val="23"/>
        </w:rPr>
        <w:t xml:space="preserve">Rajput, B.R., Solanky, K.U., Prajapati, V.P., Pawar, D.M And Suradkar, S.R. 2013 Effect Of Fungal And Bacterial Bio agents Against Alternaria Alternata (Fr.) Keissler </w:t>
      </w:r>
      <w:r w:rsidRPr="00D54EAD">
        <w:rPr>
          <w:rFonts w:ascii="Times New Roman" w:hAnsi="Times New Roman" w:cs="Times New Roman"/>
          <w:i/>
          <w:iCs/>
          <w:sz w:val="23"/>
          <w:szCs w:val="23"/>
        </w:rPr>
        <w:t xml:space="preserve">In Vitro </w:t>
      </w:r>
      <w:r w:rsidRPr="00D54EAD">
        <w:rPr>
          <w:rFonts w:ascii="Times New Roman" w:hAnsi="Times New Roman" w:cs="Times New Roman"/>
          <w:sz w:val="23"/>
          <w:szCs w:val="23"/>
        </w:rPr>
        <w:t xml:space="preserve">Conditions. </w:t>
      </w:r>
      <w:r w:rsidRPr="00D54EAD">
        <w:rPr>
          <w:rFonts w:ascii="Times New Roman" w:hAnsi="Times New Roman" w:cs="Times New Roman"/>
          <w:i/>
          <w:iCs/>
          <w:sz w:val="23"/>
          <w:szCs w:val="23"/>
        </w:rPr>
        <w:t xml:space="preserve">The Bioscan </w:t>
      </w:r>
      <w:r w:rsidRPr="00D54EAD">
        <w:rPr>
          <w:rFonts w:ascii="Times New Roman" w:hAnsi="Times New Roman" w:cs="Times New Roman"/>
          <w:b/>
          <w:bCs/>
          <w:sz w:val="23"/>
          <w:szCs w:val="23"/>
        </w:rPr>
        <w:t>8</w:t>
      </w:r>
      <w:r w:rsidRPr="00D54EAD">
        <w:rPr>
          <w:rFonts w:ascii="Times New Roman" w:hAnsi="Times New Roman" w:cs="Times New Roman"/>
          <w:sz w:val="18"/>
          <w:szCs w:val="18"/>
        </w:rPr>
        <w:t xml:space="preserve">: </w:t>
      </w:r>
      <w:r w:rsidRPr="00D54EAD">
        <w:rPr>
          <w:rFonts w:ascii="Times New Roman" w:hAnsi="Times New Roman" w:cs="Times New Roman"/>
          <w:sz w:val="23"/>
          <w:szCs w:val="23"/>
        </w:rPr>
        <w:t>627-629</w:t>
      </w:r>
      <w:r w:rsidRPr="00D54EAD">
        <w:rPr>
          <w:rFonts w:ascii="Times New Roman" w:hAnsi="Times New Roman" w:cs="Times New Roman"/>
          <w:sz w:val="18"/>
          <w:szCs w:val="18"/>
        </w:rPr>
        <w:t>.</w:t>
      </w:r>
    </w:p>
    <w:p w:rsidR="00D54EAD" w:rsidRPr="00D54EAD" w:rsidRDefault="00D54EAD" w:rsidP="005973B9">
      <w:pPr>
        <w:spacing w:line="204" w:lineRule="exact"/>
        <w:rPr>
          <w:rFonts w:ascii="Times New Roman" w:hAnsi="Times New Roman" w:cs="Times New Roman"/>
          <w:b/>
          <w:sz w:val="20"/>
        </w:rPr>
      </w:pPr>
      <w:r w:rsidRPr="00D54EAD">
        <w:rPr>
          <w:rFonts w:ascii="Times New Roman" w:hAnsi="Times New Roman" w:cs="Times New Roman"/>
          <w:sz w:val="23"/>
          <w:szCs w:val="23"/>
        </w:rPr>
        <w:t xml:space="preserve">Singh, P. C. and Singh. D. 2006. In vitro evaluation of fungicides against </w:t>
      </w:r>
      <w:r w:rsidRPr="00D54EAD">
        <w:rPr>
          <w:rFonts w:ascii="Times New Roman" w:hAnsi="Times New Roman" w:cs="Times New Roman"/>
          <w:i/>
          <w:iCs/>
          <w:sz w:val="23"/>
          <w:szCs w:val="23"/>
        </w:rPr>
        <w:t>Alternaria alternata</w:t>
      </w:r>
      <w:r w:rsidRPr="00D54EAD">
        <w:rPr>
          <w:rFonts w:ascii="Times New Roman" w:hAnsi="Times New Roman" w:cs="Times New Roman"/>
          <w:sz w:val="23"/>
          <w:szCs w:val="23"/>
        </w:rPr>
        <w:t xml:space="preserve">. </w:t>
      </w:r>
      <w:r w:rsidRPr="00D54EAD">
        <w:rPr>
          <w:rFonts w:ascii="Times New Roman" w:hAnsi="Times New Roman" w:cs="Times New Roman"/>
          <w:i/>
          <w:iCs/>
          <w:sz w:val="23"/>
          <w:szCs w:val="23"/>
        </w:rPr>
        <w:t xml:space="preserve">Annals of plant protection science </w:t>
      </w:r>
      <w:r w:rsidRPr="00D54EAD">
        <w:rPr>
          <w:rFonts w:ascii="Times New Roman" w:hAnsi="Times New Roman" w:cs="Times New Roman"/>
          <w:b/>
          <w:bCs/>
          <w:sz w:val="23"/>
          <w:szCs w:val="23"/>
        </w:rPr>
        <w:t>14</w:t>
      </w:r>
      <w:r w:rsidRPr="00D54EAD">
        <w:rPr>
          <w:rFonts w:ascii="Times New Roman" w:hAnsi="Times New Roman" w:cs="Times New Roman"/>
          <w:sz w:val="23"/>
          <w:szCs w:val="23"/>
        </w:rPr>
        <w:t>: 500-502.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6AF9D1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52E42" w:rsidRDefault="00E52E42" w:rsidP="00E52E42">
      <w:pPr>
        <w:spacing w:before="92"/>
        <w:ind w:right="4234"/>
        <w:rPr>
          <w:noProof/>
        </w:rPr>
      </w:pPr>
      <w:r>
        <w:rPr>
          <w:noProof/>
        </w:rPr>
        <w:t xml:space="preserve">  </w:t>
      </w:r>
    </w:p>
    <w:p w:rsidR="00AE3E37" w:rsidRPr="00E52E42" w:rsidRDefault="00A9710C" w:rsidP="00E52E42">
      <w:pPr>
        <w:spacing w:before="92"/>
        <w:ind w:right="4234"/>
        <w:rPr>
          <w:rFonts w:ascii="Arial"/>
        </w:rPr>
      </w:pPr>
      <w:r>
        <w:rPr>
          <w:rFonts w:ascii="Arial"/>
          <w:sz w:val="14"/>
        </w:rPr>
        <w:t xml:space="preserve">Email: </w:t>
      </w:r>
      <w:r w:rsidR="00E52E42">
        <w:t>zakirrainapp@gmail.com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69CC30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3A8" w:rsidRDefault="00CF53A8">
      <w:r>
        <w:separator/>
      </w:r>
    </w:p>
  </w:endnote>
  <w:endnote w:type="continuationSeparator" w:id="0">
    <w:p w:rsidR="00CF53A8" w:rsidRDefault="00CF5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3A8" w:rsidRDefault="00CF53A8">
      <w:r>
        <w:separator/>
      </w:r>
    </w:p>
  </w:footnote>
  <w:footnote w:type="continuationSeparator" w:id="0">
    <w:p w:rsidR="00CF53A8" w:rsidRDefault="00CF53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D56"/>
    <w:rsid w:val="00292ED9"/>
    <w:rsid w:val="00404E5B"/>
    <w:rsid w:val="00414F7B"/>
    <w:rsid w:val="004355DC"/>
    <w:rsid w:val="004749B4"/>
    <w:rsid w:val="00494130"/>
    <w:rsid w:val="004F3523"/>
    <w:rsid w:val="00523D88"/>
    <w:rsid w:val="005973B9"/>
    <w:rsid w:val="005B3A56"/>
    <w:rsid w:val="005D2F04"/>
    <w:rsid w:val="005E01BF"/>
    <w:rsid w:val="006060CE"/>
    <w:rsid w:val="0062351B"/>
    <w:rsid w:val="0063497F"/>
    <w:rsid w:val="00873DF0"/>
    <w:rsid w:val="008756E6"/>
    <w:rsid w:val="0090421E"/>
    <w:rsid w:val="009B2D44"/>
    <w:rsid w:val="00A07E82"/>
    <w:rsid w:val="00A9710C"/>
    <w:rsid w:val="00AE3E37"/>
    <w:rsid w:val="00B21A57"/>
    <w:rsid w:val="00C33602"/>
    <w:rsid w:val="00CD6F55"/>
    <w:rsid w:val="00CF53A8"/>
    <w:rsid w:val="00D54EAD"/>
    <w:rsid w:val="00DD088A"/>
    <w:rsid w:val="00DE3104"/>
    <w:rsid w:val="00E52E4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2017-07-29T01:22:00Z</dcterms:created>
  <dcterms:modified xsi:type="dcterms:W3CDTF">2017-07-28T09:04:00Z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