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087" w:rsidRPr="000E2087" w:rsidRDefault="000E2087" w:rsidP="000E2087">
      <w:pPr>
        <w:pStyle w:val="Heading1"/>
        <w:spacing w:before="170"/>
        <w:ind w:left="0"/>
        <w:rPr>
          <w:color w:val="337AB7"/>
        </w:rPr>
      </w:pPr>
      <w:r w:rsidRPr="000E2087">
        <w:rPr>
          <w:color w:val="337AB7"/>
        </w:rPr>
        <w:t xml:space="preserve">Response of Wheat (Tritium </w:t>
      </w:r>
      <w:proofErr w:type="spellStart"/>
      <w:r w:rsidRPr="000E2087">
        <w:rPr>
          <w:color w:val="337AB7"/>
        </w:rPr>
        <w:t>aestivum</w:t>
      </w:r>
      <w:proofErr w:type="spellEnd"/>
      <w:r w:rsidRPr="000E2087">
        <w:rPr>
          <w:color w:val="337AB7"/>
        </w:rPr>
        <w:t xml:space="preserve"> L.) to Variable Seed Rates: the Case of Hawassa Area, Southern Ethiopia</w:t>
      </w:r>
    </w:p>
    <w:p w:rsidR="00AE3E37" w:rsidRDefault="00AE3E37" w:rsidP="00494130">
      <w:pPr>
        <w:pStyle w:val="Heading1"/>
        <w:spacing w:before="170"/>
        <w:ind w:left="0"/>
      </w:pPr>
    </w:p>
    <w:p w:rsidR="000E2087" w:rsidRDefault="000E2087" w:rsidP="00743096">
      <w:pPr>
        <w:pStyle w:val="BodyText"/>
        <w:spacing w:before="73" w:line="198" w:lineRule="exact"/>
        <w:ind w:left="100" w:right="5987"/>
        <w:jc w:val="both"/>
        <w:rPr>
          <w:rFonts w:ascii="Arial"/>
        </w:rPr>
      </w:pPr>
      <w:r>
        <w:rPr>
          <w:rFonts w:ascii="Arial"/>
        </w:rPr>
        <w:t xml:space="preserve">Tewodros Ayalew, </w:t>
      </w:r>
      <w:r w:rsidRPr="000E2087">
        <w:rPr>
          <w:rFonts w:ascii="Arial"/>
        </w:rPr>
        <w:t xml:space="preserve">School of Plant &amp; Horticultural Sciences, College of Agriculture, Hawassa University, Ethiopia </w:t>
      </w:r>
    </w:p>
    <w:p w:rsidR="005973B9" w:rsidRDefault="00743096" w:rsidP="00743096">
      <w:pPr>
        <w:pStyle w:val="BodyText"/>
        <w:spacing w:before="73" w:line="198" w:lineRule="exact"/>
        <w:ind w:left="100" w:right="5987"/>
        <w:jc w:val="both"/>
        <w:rPr>
          <w:rFonts w:ascii="Arial"/>
        </w:rPr>
      </w:pPr>
      <w:proofErr w:type="spellStart"/>
      <w:r>
        <w:rPr>
          <w:rFonts w:ascii="Arial"/>
        </w:rPr>
        <w:t>Bereket</w:t>
      </w:r>
      <w:proofErr w:type="spellEnd"/>
      <w:r>
        <w:rPr>
          <w:rFonts w:ascii="Arial"/>
        </w:rPr>
        <w:t xml:space="preserve"> </w:t>
      </w:r>
      <w:proofErr w:type="spellStart"/>
      <w:r>
        <w:rPr>
          <w:rFonts w:ascii="Arial"/>
        </w:rPr>
        <w:t>Abebe</w:t>
      </w:r>
      <w:proofErr w:type="spellEnd"/>
      <w:r w:rsidR="000E2087">
        <w:rPr>
          <w:rFonts w:ascii="Arial"/>
        </w:rPr>
        <w:t>,</w:t>
      </w:r>
      <w:r w:rsidR="000E2087" w:rsidRPr="000E2087">
        <w:rPr>
          <w:rFonts w:ascii="Arial"/>
          <w:sz w:val="22"/>
          <w:szCs w:val="22"/>
        </w:rPr>
        <w:t xml:space="preserve"> </w:t>
      </w:r>
      <w:r w:rsidR="000E2087" w:rsidRPr="000E2087">
        <w:rPr>
          <w:rFonts w:ascii="Arial"/>
        </w:rPr>
        <w:t>School of Plant &amp; Horticultural Sciences, College of Agriculture, Hawassa University, Ethiopia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AC11E8">
        <w:rPr>
          <w:color w:val="BF5A14"/>
        </w:rPr>
        <w:t xml:space="preserve"> </w:t>
      </w:r>
    </w:p>
    <w:p w:rsidR="000E2087" w:rsidRPr="000E2087" w:rsidRDefault="000E2087" w:rsidP="00AC11E8">
      <w:pPr>
        <w:pStyle w:val="Heading3"/>
        <w:spacing w:before="74"/>
        <w:ind w:left="0"/>
        <w:rPr>
          <w:rFonts w:ascii="Tw Cen MT" w:eastAsia="Tw Cen MT" w:hAnsi="Tw Cen MT" w:cs="Tw Cen MT"/>
          <w:bCs w:val="0"/>
          <w:sz w:val="18"/>
          <w:szCs w:val="18"/>
        </w:rPr>
      </w:pPr>
      <w:bookmarkStart w:id="0" w:name="_GoBack"/>
      <w:bookmarkEnd w:id="0"/>
    </w:p>
    <w:p w:rsidR="000E2087" w:rsidRDefault="000E2087" w:rsidP="000E2087">
      <w:pPr>
        <w:pStyle w:val="Heading3"/>
        <w:spacing w:before="74"/>
        <w:jc w:val="both"/>
        <w:rPr>
          <w:rFonts w:ascii="Tw Cen MT" w:eastAsia="Tw Cen MT" w:hAnsi="Tw Cen MT" w:cs="Tw Cen MT"/>
          <w:b w:val="0"/>
          <w:bCs w:val="0"/>
          <w:sz w:val="18"/>
          <w:szCs w:val="18"/>
        </w:rPr>
      </w:pPr>
      <w:r w:rsidRPr="000E2087">
        <w:rPr>
          <w:rFonts w:ascii="Tw Cen MT" w:eastAsia="Tw Cen MT" w:hAnsi="Tw Cen MT" w:cs="Tw Cen MT"/>
          <w:b w:val="0"/>
          <w:bCs w:val="0"/>
          <w:sz w:val="18"/>
          <w:szCs w:val="18"/>
        </w:rPr>
        <w:t xml:space="preserve">Wheat serves as a staple food and feed for all over the world. In Ethiopia, wheat is one of the most important cultivated cereals ranking 4th in area coverage, 3nd in total production and 2nd in yield. A wheat seed rate of 125 kg ha-1 is usually used across most wheat growing areas of Ethiopia in any production conditions. In order to optimize seed rate and plant density of wheat, an experiment was conducted at the agronomy experiment field, College of Agriculture, Hawassa University, Ethiopia, with a variable seed rates of 100kg ha-1, 125kg ha-1, 150kg ha-1and 175kg ha-1. For this purpose, an experiment was laid down using a randomized complete block design with three replication and four treatments. The result of the current experiment showed significant difference for number of tillers, plant height, grain yield, and 1000-grain weight whereas non-significant difference were witnessed for spike length. Result of this particular study indicated higher number of effective tillers (10.27), spike length (8.9 cm), 1000-grain weight (41.7 </w:t>
      </w:r>
      <w:proofErr w:type="spellStart"/>
      <w:r w:rsidRPr="000E2087">
        <w:rPr>
          <w:rFonts w:ascii="Tw Cen MT" w:eastAsia="Tw Cen MT" w:hAnsi="Tw Cen MT" w:cs="Tw Cen MT"/>
          <w:b w:val="0"/>
          <w:bCs w:val="0"/>
          <w:sz w:val="18"/>
          <w:szCs w:val="18"/>
        </w:rPr>
        <w:t>gm</w:t>
      </w:r>
      <w:proofErr w:type="spellEnd"/>
      <w:r w:rsidRPr="000E2087">
        <w:rPr>
          <w:rFonts w:ascii="Tw Cen MT" w:eastAsia="Tw Cen MT" w:hAnsi="Tw Cen MT" w:cs="Tw Cen MT"/>
          <w:b w:val="0"/>
          <w:bCs w:val="0"/>
          <w:sz w:val="18"/>
          <w:szCs w:val="18"/>
        </w:rPr>
        <w:t xml:space="preserve">) and grain yield (25.78 qtha-1) production with 125 kg ha-1 seed rate. On the basis of results obtained from this experiment, it is concluded that wheat should be sown with 125 kg ha-1 seed rate in the current study area provided that all other agronomic management practices is kept optimal. </w:t>
      </w:r>
    </w:p>
    <w:p w:rsidR="000E2087" w:rsidRPr="000E2087" w:rsidRDefault="000E2087" w:rsidP="000E2087">
      <w:pPr>
        <w:pStyle w:val="Heading3"/>
        <w:spacing w:before="74"/>
        <w:jc w:val="both"/>
        <w:rPr>
          <w:rFonts w:ascii="Tw Cen MT" w:eastAsia="Tw Cen MT" w:hAnsi="Tw Cen MT" w:cs="Tw Cen MT"/>
          <w:b w:val="0"/>
          <w:bCs w:val="0"/>
          <w:sz w:val="18"/>
          <w:szCs w:val="18"/>
        </w:rPr>
      </w:pPr>
    </w:p>
    <w:p w:rsidR="00AE3E37" w:rsidRDefault="000E2087" w:rsidP="000E2087">
      <w:pPr>
        <w:pStyle w:val="Heading3"/>
        <w:spacing w:before="74"/>
        <w:rPr>
          <w:color w:val="BF5A14"/>
        </w:rPr>
      </w:pPr>
      <w:r w:rsidRPr="000E2087">
        <w:rPr>
          <w:rFonts w:ascii="Tw Cen MT" w:eastAsia="Tw Cen MT" w:hAnsi="Tw Cen MT" w:cs="Tw Cen MT"/>
          <w:bCs w:val="0"/>
          <w:sz w:val="18"/>
          <w:szCs w:val="18"/>
        </w:rPr>
        <w:t>Key words:</w:t>
      </w:r>
      <w:r w:rsidRPr="000E2087">
        <w:rPr>
          <w:rFonts w:ascii="Tw Cen MT" w:eastAsia="Tw Cen MT" w:hAnsi="Tw Cen MT" w:cs="Tw Cen MT"/>
          <w:b w:val="0"/>
          <w:bCs w:val="0"/>
          <w:sz w:val="18"/>
          <w:szCs w:val="18"/>
        </w:rPr>
        <w:t xml:space="preserve">  Grain crop, Planting density, Seed rate, Tritium </w:t>
      </w:r>
      <w:proofErr w:type="spellStart"/>
      <w:r w:rsidRPr="000E2087">
        <w:rPr>
          <w:rFonts w:ascii="Tw Cen MT" w:eastAsia="Tw Cen MT" w:hAnsi="Tw Cen MT" w:cs="Tw Cen MT"/>
          <w:b w:val="0"/>
          <w:bCs w:val="0"/>
          <w:sz w:val="18"/>
          <w:szCs w:val="18"/>
        </w:rPr>
        <w:t>aestivum</w:t>
      </w:r>
      <w:proofErr w:type="spellEnd"/>
      <w:r w:rsidRPr="000E2087">
        <w:rPr>
          <w:rFonts w:ascii="Tw Cen MT" w:eastAsia="Tw Cen MT" w:hAnsi="Tw Cen MT" w:cs="Tw Cen MT"/>
          <w:b w:val="0"/>
          <w:bCs w:val="0"/>
          <w:sz w:val="18"/>
          <w:szCs w:val="18"/>
        </w:rPr>
        <w:t xml:space="preserve"> L. and Yield    </w:t>
      </w:r>
      <w:r w:rsidR="00A9710C">
        <w:rPr>
          <w:b w:val="0"/>
        </w:rPr>
        <w:br w:type="column"/>
      </w:r>
      <w:r w:rsidR="008D351F">
        <w:rPr>
          <w:color w:val="BF5A14"/>
        </w:rPr>
        <w:lastRenderedPageBreak/>
        <w:t>Table</w:t>
      </w:r>
    </w:p>
    <w:p w:rsidR="008D351F" w:rsidRDefault="008D351F" w:rsidP="000E2087">
      <w:pPr>
        <w:pStyle w:val="Heading3"/>
        <w:spacing w:before="74"/>
      </w:pPr>
    </w:p>
    <w:p w:rsidR="00AE3E37" w:rsidRDefault="008D351F">
      <w:pPr>
        <w:pStyle w:val="BodyText"/>
        <w:spacing w:before="2"/>
        <w:rPr>
          <w:rFonts w:ascii="Arial"/>
          <w:b/>
          <w:sz w:val="16"/>
        </w:rPr>
      </w:pPr>
      <w:r>
        <w:rPr>
          <w:noProof/>
        </w:rPr>
        <w:drawing>
          <wp:inline distT="0" distB="0" distL="0" distR="0" wp14:anchorId="7511B555" wp14:editId="29A19ACE">
            <wp:extent cx="3165475" cy="11747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17475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r>
      <w:r w:rsidR="00715DB1">
        <w:rPr>
          <w:rFonts w:ascii="Arial"/>
          <w:b/>
          <w:color w:val="BF5A14"/>
          <w:sz w:val="20"/>
        </w:rPr>
        <w:t xml:space="preserve">    List of Selected Publications</w:t>
      </w:r>
    </w:p>
    <w:p w:rsidR="008D351F" w:rsidRPr="008D351F" w:rsidRDefault="008D351F" w:rsidP="008D351F">
      <w:pPr>
        <w:pStyle w:val="ListParagraph"/>
        <w:numPr>
          <w:ilvl w:val="0"/>
          <w:numId w:val="3"/>
        </w:numPr>
        <w:tabs>
          <w:tab w:val="left" w:pos="384"/>
        </w:tabs>
        <w:spacing w:line="216" w:lineRule="exact"/>
        <w:ind w:right="137"/>
        <w:rPr>
          <w:sz w:val="18"/>
        </w:rPr>
      </w:pPr>
      <w:proofErr w:type="spellStart"/>
      <w:r w:rsidRPr="008D351F">
        <w:rPr>
          <w:sz w:val="18"/>
        </w:rPr>
        <w:t>Tarekegn</w:t>
      </w:r>
      <w:proofErr w:type="spellEnd"/>
      <w:r w:rsidRPr="008D351F">
        <w:rPr>
          <w:sz w:val="18"/>
        </w:rPr>
        <w:t xml:space="preserve"> Y., Bekele B. and Tewodros Ayalew. Influence of </w:t>
      </w:r>
      <w:proofErr w:type="spellStart"/>
      <w:r w:rsidRPr="008D351F">
        <w:rPr>
          <w:sz w:val="18"/>
        </w:rPr>
        <w:t>Bradyrhizobia</w:t>
      </w:r>
      <w:proofErr w:type="spellEnd"/>
      <w:r w:rsidRPr="008D351F">
        <w:rPr>
          <w:sz w:val="18"/>
        </w:rPr>
        <w:t xml:space="preserve"> inoculation on growth, nodulation and yield performance of cowpea </w:t>
      </w:r>
      <w:proofErr w:type="spellStart"/>
      <w:r w:rsidRPr="008D351F">
        <w:rPr>
          <w:sz w:val="18"/>
        </w:rPr>
        <w:t>varities</w:t>
      </w:r>
      <w:proofErr w:type="spellEnd"/>
      <w:r w:rsidRPr="008D351F">
        <w:rPr>
          <w:sz w:val="18"/>
        </w:rPr>
        <w:t xml:space="preserve">. African Journal of Agricultural Research, 12 (25): 19061913. </w:t>
      </w:r>
    </w:p>
    <w:p w:rsidR="008D351F" w:rsidRPr="008D351F" w:rsidRDefault="008D351F" w:rsidP="008D351F">
      <w:pPr>
        <w:pStyle w:val="ListParagraph"/>
        <w:numPr>
          <w:ilvl w:val="0"/>
          <w:numId w:val="3"/>
        </w:numPr>
        <w:rPr>
          <w:sz w:val="18"/>
        </w:rPr>
      </w:pPr>
      <w:proofErr w:type="spellStart"/>
      <w:r w:rsidRPr="008D351F">
        <w:rPr>
          <w:sz w:val="18"/>
        </w:rPr>
        <w:t>Tewodros</w:t>
      </w:r>
      <w:proofErr w:type="spellEnd"/>
      <w:r w:rsidRPr="008D351F">
        <w:rPr>
          <w:sz w:val="18"/>
        </w:rPr>
        <w:t xml:space="preserve"> Ayalew, </w:t>
      </w:r>
      <w:proofErr w:type="spellStart"/>
      <w:r w:rsidRPr="008D351F">
        <w:rPr>
          <w:sz w:val="18"/>
        </w:rPr>
        <w:t>Bereket</w:t>
      </w:r>
      <w:proofErr w:type="spellEnd"/>
      <w:r w:rsidRPr="008D351F">
        <w:rPr>
          <w:sz w:val="18"/>
        </w:rPr>
        <w:t xml:space="preserve"> </w:t>
      </w:r>
      <w:proofErr w:type="spellStart"/>
      <w:r w:rsidRPr="008D351F">
        <w:rPr>
          <w:sz w:val="18"/>
        </w:rPr>
        <w:t>Abebe</w:t>
      </w:r>
      <w:proofErr w:type="spellEnd"/>
      <w:r w:rsidRPr="008D351F">
        <w:rPr>
          <w:sz w:val="18"/>
        </w:rPr>
        <w:t xml:space="preserve"> and </w:t>
      </w:r>
      <w:proofErr w:type="spellStart"/>
      <w:r w:rsidRPr="008D351F">
        <w:rPr>
          <w:sz w:val="18"/>
        </w:rPr>
        <w:t>Tarekegn</w:t>
      </w:r>
      <w:proofErr w:type="spellEnd"/>
      <w:r w:rsidRPr="008D351F">
        <w:rPr>
          <w:sz w:val="18"/>
        </w:rPr>
        <w:t xml:space="preserve"> </w:t>
      </w:r>
      <w:proofErr w:type="spellStart"/>
      <w:r w:rsidRPr="008D351F">
        <w:rPr>
          <w:sz w:val="18"/>
        </w:rPr>
        <w:t>Yoseph</w:t>
      </w:r>
      <w:proofErr w:type="spellEnd"/>
      <w:r w:rsidRPr="008D351F">
        <w:rPr>
          <w:sz w:val="18"/>
        </w:rPr>
        <w:t xml:space="preserve"> 2017. Response of wheat to variable seed rates: the case of Hawassa area, Southern Ethiopia. African Journal of Agricultural Research, 12 (14): 1177-1181. </w:t>
      </w:r>
    </w:p>
    <w:p w:rsidR="008D351F" w:rsidRDefault="008D351F" w:rsidP="008D351F">
      <w:pPr>
        <w:pStyle w:val="ListParagraph"/>
        <w:numPr>
          <w:ilvl w:val="0"/>
          <w:numId w:val="3"/>
        </w:numPr>
        <w:rPr>
          <w:sz w:val="18"/>
        </w:rPr>
      </w:pPr>
      <w:r w:rsidRPr="008D351F">
        <w:rPr>
          <w:sz w:val="18"/>
        </w:rPr>
        <w:t xml:space="preserve">S. </w:t>
      </w:r>
      <w:proofErr w:type="spellStart"/>
      <w:r w:rsidRPr="008D351F">
        <w:rPr>
          <w:sz w:val="18"/>
        </w:rPr>
        <w:t>Tolosa</w:t>
      </w:r>
      <w:proofErr w:type="spellEnd"/>
      <w:r w:rsidRPr="008D351F">
        <w:rPr>
          <w:sz w:val="18"/>
        </w:rPr>
        <w:t xml:space="preserve"> &amp; </w:t>
      </w:r>
      <w:proofErr w:type="spellStart"/>
      <w:r w:rsidRPr="008D351F">
        <w:rPr>
          <w:sz w:val="18"/>
        </w:rPr>
        <w:t>Tewodros</w:t>
      </w:r>
      <w:proofErr w:type="spellEnd"/>
      <w:r w:rsidRPr="008D351F">
        <w:rPr>
          <w:sz w:val="18"/>
        </w:rPr>
        <w:t xml:space="preserve"> Ayalew, 2016. Response of </w:t>
      </w:r>
      <w:proofErr w:type="spellStart"/>
      <w:r w:rsidRPr="008D351F">
        <w:rPr>
          <w:sz w:val="18"/>
        </w:rPr>
        <w:t>Tef</w:t>
      </w:r>
      <w:proofErr w:type="spellEnd"/>
      <w:r w:rsidRPr="008D351F">
        <w:rPr>
          <w:sz w:val="18"/>
        </w:rPr>
        <w:t xml:space="preserve"> [</w:t>
      </w:r>
      <w:proofErr w:type="spellStart"/>
      <w:r w:rsidRPr="008D351F">
        <w:rPr>
          <w:sz w:val="18"/>
        </w:rPr>
        <w:t>eragrostis</w:t>
      </w:r>
      <w:proofErr w:type="spellEnd"/>
      <w:r w:rsidRPr="008D351F">
        <w:rPr>
          <w:sz w:val="18"/>
        </w:rPr>
        <w:t xml:space="preserve"> </w:t>
      </w:r>
      <w:proofErr w:type="spellStart"/>
      <w:r w:rsidRPr="008D351F">
        <w:rPr>
          <w:sz w:val="18"/>
        </w:rPr>
        <w:t>tef</w:t>
      </w:r>
      <w:proofErr w:type="spellEnd"/>
      <w:r w:rsidRPr="008D351F">
        <w:rPr>
          <w:sz w:val="18"/>
        </w:rPr>
        <w:t xml:space="preserve"> (</w:t>
      </w:r>
      <w:proofErr w:type="spellStart"/>
      <w:r w:rsidRPr="008D351F">
        <w:rPr>
          <w:sz w:val="18"/>
        </w:rPr>
        <w:t>zucc</w:t>
      </w:r>
      <w:proofErr w:type="spellEnd"/>
      <w:r w:rsidRPr="008D351F">
        <w:rPr>
          <w:sz w:val="18"/>
        </w:rPr>
        <w:t>.)</w:t>
      </w:r>
      <w:r w:rsidR="006932E9">
        <w:rPr>
          <w:sz w:val="18"/>
        </w:rPr>
        <w:t xml:space="preserve"> </w:t>
      </w:r>
      <w:r w:rsidRPr="008D351F">
        <w:rPr>
          <w:sz w:val="18"/>
        </w:rPr>
        <w:t xml:space="preserve">trotter] to Time of Nitrogen Application and Variable Seed Rates at </w:t>
      </w:r>
      <w:proofErr w:type="spellStart"/>
      <w:r w:rsidRPr="008D351F">
        <w:rPr>
          <w:sz w:val="18"/>
        </w:rPr>
        <w:t>Dilla</w:t>
      </w:r>
      <w:proofErr w:type="spellEnd"/>
      <w:r w:rsidRPr="008D351F">
        <w:rPr>
          <w:sz w:val="18"/>
        </w:rPr>
        <w:t xml:space="preserve"> District, Southern Ethiopia. International Journal of Current</w:t>
      </w:r>
      <w:r>
        <w:rPr>
          <w:sz w:val="18"/>
        </w:rPr>
        <w:t xml:space="preserve"> Research</w:t>
      </w:r>
      <w:proofErr w:type="gramStart"/>
      <w:r>
        <w:rPr>
          <w:sz w:val="18"/>
        </w:rPr>
        <w:t>,  8</w:t>
      </w:r>
      <w:proofErr w:type="gramEnd"/>
      <w:r>
        <w:rPr>
          <w:sz w:val="18"/>
        </w:rPr>
        <w:t xml:space="preserve"> (03):28047-28052.</w:t>
      </w:r>
    </w:p>
    <w:p w:rsidR="008D351F" w:rsidRPr="008D351F" w:rsidRDefault="008D351F" w:rsidP="008D351F">
      <w:pPr>
        <w:pStyle w:val="ListParagraph"/>
        <w:numPr>
          <w:ilvl w:val="0"/>
          <w:numId w:val="3"/>
        </w:numPr>
        <w:rPr>
          <w:sz w:val="18"/>
        </w:rPr>
      </w:pPr>
      <w:r w:rsidRPr="008D351F">
        <w:rPr>
          <w:sz w:val="18"/>
        </w:rPr>
        <w:t>Tewodros Ayalew, et al., 2014. Characterization of Seed Potato       (</w:t>
      </w:r>
      <w:proofErr w:type="spellStart"/>
      <w:r w:rsidRPr="008D351F">
        <w:rPr>
          <w:sz w:val="18"/>
        </w:rPr>
        <w:t>Solanum</w:t>
      </w:r>
      <w:proofErr w:type="spellEnd"/>
      <w:r w:rsidRPr="008D351F">
        <w:rPr>
          <w:sz w:val="18"/>
        </w:rPr>
        <w:t xml:space="preserve"> </w:t>
      </w:r>
      <w:proofErr w:type="spellStart"/>
      <w:r w:rsidRPr="008D351F">
        <w:rPr>
          <w:sz w:val="18"/>
        </w:rPr>
        <w:t>tuberosum</w:t>
      </w:r>
      <w:proofErr w:type="spellEnd"/>
      <w:r w:rsidRPr="008D351F">
        <w:rPr>
          <w:sz w:val="18"/>
        </w:rPr>
        <w:t xml:space="preserve"> L.) Storage, Pre-planting treatment and Marketing Systems in Ethiopia: the Case of West-</w:t>
      </w:r>
      <w:proofErr w:type="spellStart"/>
      <w:r w:rsidRPr="008D351F">
        <w:rPr>
          <w:sz w:val="18"/>
        </w:rPr>
        <w:t>Arsi</w:t>
      </w:r>
      <w:proofErr w:type="spellEnd"/>
      <w:r w:rsidRPr="008D351F">
        <w:rPr>
          <w:sz w:val="18"/>
        </w:rPr>
        <w:t xml:space="preserve"> Zone. African Journal of Agricultural research, 9(15): 1218 – 1226. </w:t>
      </w:r>
    </w:p>
    <w:p w:rsidR="005973B9" w:rsidRDefault="008D351F" w:rsidP="005973B9">
      <w:pPr>
        <w:pStyle w:val="BodyText"/>
        <w:spacing w:before="85" w:line="216" w:lineRule="exact"/>
        <w:ind w:left="383" w:right="138" w:hanging="284"/>
        <w:jc w:val="both"/>
        <w:rPr>
          <w:rFonts w:ascii="Calibri" w:hAnsi="Calibri"/>
        </w:rPr>
      </w:pPr>
      <w:r w:rsidRPr="008D351F">
        <w:rPr>
          <w:rFonts w:ascii="Calibri" w:hAnsi="Calibri"/>
        </w:rPr>
        <w:t>5.</w:t>
      </w:r>
      <w:r w:rsidRPr="008D351F">
        <w:rPr>
          <w:rFonts w:ascii="Calibri" w:hAnsi="Calibri"/>
        </w:rPr>
        <w:tab/>
        <w:t xml:space="preserve">Tewodros Ayalew, 2014. Effects of soil types and nutrient level on early leaf development of </w:t>
      </w:r>
      <w:proofErr w:type="spellStart"/>
      <w:r w:rsidRPr="008D351F">
        <w:rPr>
          <w:rFonts w:ascii="Calibri" w:hAnsi="Calibri"/>
        </w:rPr>
        <w:t>maize</w:t>
      </w:r>
      <w:proofErr w:type="gramStart"/>
      <w:r w:rsidRPr="008D351F">
        <w:rPr>
          <w:rFonts w:ascii="Calibri" w:hAnsi="Calibri"/>
        </w:rPr>
        <w:t>,bean</w:t>
      </w:r>
      <w:proofErr w:type="spellEnd"/>
      <w:proofErr w:type="gramEnd"/>
      <w:r w:rsidRPr="008D351F">
        <w:rPr>
          <w:rFonts w:ascii="Calibri" w:hAnsi="Calibri"/>
        </w:rPr>
        <w:t xml:space="preserve"> and sunflower crops. African journal of Agricultural research, 9(25): 1970- 1975.</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CE6D3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03BC6" w:rsidRDefault="00203BC6"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p>
    <w:p w:rsidR="00203BC6" w:rsidRDefault="00203BC6" w:rsidP="002E6A57">
      <w:pPr>
        <w:jc w:val="both"/>
        <w:rPr>
          <w:rFonts w:ascii="Arial" w:hAnsi="Arial" w:cs="Arial"/>
          <w:sz w:val="18"/>
          <w:szCs w:val="18"/>
        </w:rPr>
      </w:pPr>
    </w:p>
    <w:p w:rsidR="002E6A57" w:rsidRPr="003F24FB" w:rsidRDefault="002E6A57" w:rsidP="002E6A57">
      <w:pPr>
        <w:jc w:val="both"/>
        <w:rPr>
          <w:rFonts w:ascii="Arial" w:hAnsi="Arial" w:cs="Arial"/>
          <w:sz w:val="18"/>
          <w:szCs w:val="18"/>
        </w:rPr>
      </w:pPr>
      <w:proofErr w:type="spellStart"/>
      <w:r w:rsidRPr="003F24FB">
        <w:rPr>
          <w:rFonts w:ascii="Arial" w:hAnsi="Arial" w:cs="Arial"/>
          <w:sz w:val="18"/>
          <w:szCs w:val="18"/>
        </w:rPr>
        <w:t>Tewodros</w:t>
      </w:r>
      <w:proofErr w:type="spellEnd"/>
      <w:r w:rsidRPr="003F24FB">
        <w:rPr>
          <w:rFonts w:ascii="Arial" w:hAnsi="Arial" w:cs="Arial"/>
          <w:sz w:val="18"/>
          <w:szCs w:val="18"/>
        </w:rPr>
        <w:t xml:space="preserve"> has specialized in crop sciences and with a huge teaching, resear</w:t>
      </w:r>
      <w:r>
        <w:rPr>
          <w:rFonts w:ascii="Arial" w:hAnsi="Arial" w:cs="Arial"/>
          <w:sz w:val="18"/>
          <w:szCs w:val="18"/>
        </w:rPr>
        <w:t xml:space="preserve">ch and academic administration </w:t>
      </w:r>
      <w:r w:rsidRPr="003F24FB">
        <w:rPr>
          <w:rFonts w:ascii="Arial" w:hAnsi="Arial" w:cs="Arial"/>
          <w:sz w:val="18"/>
          <w:szCs w:val="18"/>
        </w:rPr>
        <w:t>Experience. He offers different courses in the area of plant sciences both for under graduate and post graduate programs. Also supervises post graduate student thesis research in the area of crop climate interaction, agronomy and organic agriculture. He has a huge research experience with a number of completed and ongoing research works.</w:t>
      </w:r>
      <w:r>
        <w:rPr>
          <w:rFonts w:ascii="Arial" w:hAnsi="Arial" w:cs="Arial"/>
          <w:sz w:val="18"/>
          <w:szCs w:val="18"/>
        </w:rPr>
        <w:t xml:space="preserve"> </w:t>
      </w:r>
      <w:proofErr w:type="spellStart"/>
      <w:r w:rsidRPr="003F24FB">
        <w:rPr>
          <w:rFonts w:ascii="Arial" w:hAnsi="Arial" w:cs="Arial"/>
          <w:sz w:val="18"/>
          <w:szCs w:val="18"/>
        </w:rPr>
        <w:t>Tewodros</w:t>
      </w:r>
      <w:proofErr w:type="spellEnd"/>
      <w:r w:rsidRPr="003F24FB">
        <w:rPr>
          <w:rFonts w:ascii="Arial" w:hAnsi="Arial" w:cs="Arial"/>
          <w:sz w:val="18"/>
          <w:szCs w:val="18"/>
        </w:rPr>
        <w:t xml:space="preserve"> also served for as a college dean for about four years in his early academic carrier.   </w:t>
      </w:r>
    </w:p>
    <w:p w:rsidR="00203BC6" w:rsidRDefault="00203BC6" w:rsidP="00203BC6">
      <w:pPr>
        <w:spacing w:before="62"/>
        <w:ind w:right="4235"/>
        <w:rPr>
          <w:rFonts w:ascii="Arial" w:hAnsi="Arial" w:cs="Arial"/>
          <w:sz w:val="20"/>
          <w:szCs w:val="20"/>
        </w:rPr>
      </w:pPr>
      <w:r w:rsidRPr="00203BC6">
        <w:rPr>
          <w:rFonts w:ascii="Arial" w:hAnsi="Arial" w:cs="Arial"/>
          <w:sz w:val="20"/>
          <w:szCs w:val="20"/>
        </w:rPr>
        <w:t xml:space="preserve">                                     </w:t>
      </w:r>
      <w:r>
        <w:rPr>
          <w:rFonts w:ascii="Arial" w:hAnsi="Arial" w:cs="Arial"/>
          <w:sz w:val="20"/>
          <w:szCs w:val="20"/>
        </w:rPr>
        <w:t xml:space="preserve">                       </w:t>
      </w:r>
    </w:p>
    <w:p w:rsidR="00AE3E37" w:rsidRPr="00203BC6" w:rsidRDefault="00203BC6" w:rsidP="00203BC6">
      <w:pPr>
        <w:spacing w:before="62"/>
        <w:ind w:right="4235"/>
        <w:rPr>
          <w:rFonts w:ascii="Arial" w:hAnsi="Arial" w:cs="Arial"/>
          <w:sz w:val="20"/>
          <w:szCs w:val="20"/>
        </w:rPr>
      </w:pPr>
      <w:r>
        <w:rPr>
          <w:rFonts w:ascii="Arial" w:hAnsi="Arial" w:cs="Arial"/>
          <w:sz w:val="20"/>
          <w:szCs w:val="20"/>
        </w:rPr>
        <w:t xml:space="preserve">                                                        </w:t>
      </w:r>
      <w:r w:rsidRPr="00203BC6">
        <w:rPr>
          <w:rFonts w:ascii="Arial" w:hAnsi="Arial" w:cs="Arial"/>
          <w:sz w:val="20"/>
          <w:szCs w:val="20"/>
        </w:rPr>
        <w:t xml:space="preserve"> </w:t>
      </w:r>
      <w:r w:rsidR="00A9710C" w:rsidRPr="00203BC6">
        <w:rPr>
          <w:rFonts w:ascii="Arial" w:hAnsi="Arial" w:cs="Arial"/>
          <w:sz w:val="20"/>
          <w:szCs w:val="20"/>
        </w:rPr>
        <w:t xml:space="preserve">Email: </w:t>
      </w:r>
      <w:r w:rsidRPr="00203BC6">
        <w:rPr>
          <w:rFonts w:ascii="Arial" w:hAnsi="Arial" w:cs="Arial"/>
          <w:sz w:val="20"/>
          <w:szCs w:val="20"/>
        </w:rPr>
        <w:t>teddy1360@yahoo.com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4949F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sectPr w:rsidR="00AE3E37" w:rsidSect="00203BC6">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646F" w:rsidRDefault="0068646F">
      <w:r>
        <w:separator/>
      </w:r>
    </w:p>
  </w:endnote>
  <w:endnote w:type="continuationSeparator" w:id="0">
    <w:p w:rsidR="0068646F" w:rsidRDefault="00686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18C" w:rsidRDefault="00B2318C">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318C" w:rsidRPr="005B3A56" w:rsidRDefault="00B2318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2318C" w:rsidRPr="005B3A56" w:rsidRDefault="00B2318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B2318C" w:rsidRPr="005B3A56" w:rsidRDefault="00B2318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B2318C" w:rsidRPr="005B3A56" w:rsidRDefault="00B2318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318C" w:rsidRPr="005B3A56" w:rsidRDefault="00B2318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2318C" w:rsidRPr="005B3A56" w:rsidRDefault="00B2318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B2318C" w:rsidRPr="005B3A56" w:rsidRDefault="00B2318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B2318C" w:rsidRPr="005B3A56" w:rsidRDefault="00B2318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318C" w:rsidRPr="005B3A56" w:rsidRDefault="00B2318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2318C" w:rsidRPr="005B3A56" w:rsidRDefault="00B2318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B2318C" w:rsidRPr="005B3A56" w:rsidRDefault="00B2318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B2318C" w:rsidRPr="005B3A56" w:rsidRDefault="00B2318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646F" w:rsidRDefault="0068646F">
      <w:r>
        <w:separator/>
      </w:r>
    </w:p>
  </w:footnote>
  <w:footnote w:type="continuationSeparator" w:id="0">
    <w:p w:rsidR="0068646F" w:rsidRDefault="006864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18C" w:rsidRDefault="00B2318C">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318C" w:rsidRPr="005B3A56" w:rsidRDefault="00B2318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B2318C" w:rsidRPr="005B3A56" w:rsidRDefault="00B2318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318C" w:rsidRPr="005B3A56" w:rsidRDefault="00B2318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2318C" w:rsidRPr="005B3A56" w:rsidRDefault="00B2318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B2318C" w:rsidRPr="005B3A56" w:rsidRDefault="00B2318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B2318C" w:rsidRPr="005B3A56" w:rsidRDefault="00B2318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087"/>
    <w:rsid w:val="000E2911"/>
    <w:rsid w:val="001263DF"/>
    <w:rsid w:val="00203BC6"/>
    <w:rsid w:val="00284D56"/>
    <w:rsid w:val="00292ED9"/>
    <w:rsid w:val="002E6A57"/>
    <w:rsid w:val="00404E5B"/>
    <w:rsid w:val="00414F7B"/>
    <w:rsid w:val="004355DC"/>
    <w:rsid w:val="004749B4"/>
    <w:rsid w:val="00494130"/>
    <w:rsid w:val="004F3523"/>
    <w:rsid w:val="005973B9"/>
    <w:rsid w:val="005B3A56"/>
    <w:rsid w:val="005E13C0"/>
    <w:rsid w:val="006060CE"/>
    <w:rsid w:val="0062351B"/>
    <w:rsid w:val="0063497F"/>
    <w:rsid w:val="0068646F"/>
    <w:rsid w:val="006932E9"/>
    <w:rsid w:val="00715DB1"/>
    <w:rsid w:val="00743096"/>
    <w:rsid w:val="00873DF0"/>
    <w:rsid w:val="008756E6"/>
    <w:rsid w:val="008D351F"/>
    <w:rsid w:val="009B2D44"/>
    <w:rsid w:val="00A07E82"/>
    <w:rsid w:val="00A9710C"/>
    <w:rsid w:val="00AC11E8"/>
    <w:rsid w:val="00AE3E37"/>
    <w:rsid w:val="00B21A57"/>
    <w:rsid w:val="00B2318C"/>
    <w:rsid w:val="00C33602"/>
    <w:rsid w:val="00CD6F55"/>
    <w:rsid w:val="00D57B94"/>
    <w:rsid w:val="00DE3104"/>
    <w:rsid w:val="00EF5CF6"/>
    <w:rsid w:val="00F72EEA"/>
    <w:rsid w:val="00F81071"/>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654452-7115-4EFE-A5DD-E40CC7237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Preferred Customer</cp:lastModifiedBy>
  <cp:revision>3</cp:revision>
  <dcterms:created xsi:type="dcterms:W3CDTF">2017-07-23T09:07:00Z</dcterms:created>
  <dcterms:modified xsi:type="dcterms:W3CDTF">2017-07-23T09:24:00Z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