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E5A" w:rsidRPr="00396E61" w:rsidRDefault="00932900" w:rsidP="00560FBB">
      <w:pPr>
        <w:jc w:val="center"/>
        <w:rPr>
          <w:rFonts w:asciiTheme="majorBidi" w:hAnsiTheme="majorBidi" w:cstheme="majorBidi"/>
          <w:sz w:val="28"/>
          <w:szCs w:val="28"/>
        </w:rPr>
      </w:pPr>
      <w:r w:rsidRPr="00396E61">
        <w:rPr>
          <w:rFonts w:asciiTheme="majorBidi" w:hAnsiTheme="majorBidi" w:cstheme="majorBidi"/>
          <w:sz w:val="28"/>
          <w:szCs w:val="28"/>
        </w:rPr>
        <w:t xml:space="preserve">Nutritional, physicochemical properties and </w:t>
      </w:r>
      <w:r w:rsidR="00560FBB" w:rsidRPr="00396E61">
        <w:rPr>
          <w:rFonts w:asciiTheme="majorBidi" w:hAnsiTheme="majorBidi" w:cstheme="majorBidi"/>
          <w:sz w:val="28"/>
          <w:szCs w:val="28"/>
        </w:rPr>
        <w:t>shelf life</w:t>
      </w:r>
      <w:r w:rsidRPr="00396E61">
        <w:rPr>
          <w:rFonts w:asciiTheme="majorBidi" w:hAnsiTheme="majorBidi" w:cstheme="majorBidi"/>
          <w:sz w:val="28"/>
          <w:szCs w:val="28"/>
        </w:rPr>
        <w:t xml:space="preserve"> of crackers based on cladode flour of Opuntia ficus indica</w:t>
      </w:r>
    </w:p>
    <w:p w:rsidR="00396E61" w:rsidRPr="00932900" w:rsidRDefault="00396E61" w:rsidP="00560FBB">
      <w:pPr>
        <w:jc w:val="center"/>
        <w:rPr>
          <w:rFonts w:asciiTheme="minorBidi" w:hAnsiTheme="minorBidi"/>
          <w:sz w:val="24"/>
          <w:szCs w:val="24"/>
        </w:rPr>
      </w:pPr>
    </w:p>
    <w:p w:rsidR="00BF4E5A" w:rsidRPr="00396E61" w:rsidRDefault="00BF4E5A" w:rsidP="00BF4E5A">
      <w:pPr>
        <w:jc w:val="center"/>
        <w:rPr>
          <w:rFonts w:asciiTheme="majorBidi" w:hAnsiTheme="majorBidi" w:cstheme="majorBidi"/>
          <w:sz w:val="18"/>
          <w:szCs w:val="18"/>
        </w:rPr>
      </w:pPr>
      <w:r w:rsidRPr="00396E61">
        <w:rPr>
          <w:rFonts w:asciiTheme="majorBidi" w:hAnsiTheme="majorBidi" w:cstheme="majorBidi"/>
          <w:sz w:val="18"/>
          <w:szCs w:val="18"/>
        </w:rPr>
        <w:t>Nabil B</w:t>
      </w:r>
      <w:r w:rsidRPr="00396E61">
        <w:rPr>
          <w:rFonts w:asciiTheme="majorBidi" w:hAnsiTheme="majorBidi" w:cstheme="majorBidi"/>
          <w:sz w:val="18"/>
          <w:szCs w:val="18"/>
          <w:vertAlign w:val="superscript"/>
        </w:rPr>
        <w:t>1</w:t>
      </w:r>
      <w:r w:rsidRPr="00396E61">
        <w:rPr>
          <w:rFonts w:asciiTheme="majorBidi" w:hAnsiTheme="majorBidi" w:cstheme="majorBidi"/>
          <w:sz w:val="18"/>
          <w:szCs w:val="18"/>
        </w:rPr>
        <w:t>; Saadouni N</w:t>
      </w:r>
      <w:r w:rsidRPr="00396E61">
        <w:rPr>
          <w:rFonts w:asciiTheme="majorBidi" w:hAnsiTheme="majorBidi" w:cstheme="majorBidi"/>
          <w:sz w:val="18"/>
          <w:szCs w:val="18"/>
          <w:vertAlign w:val="superscript"/>
        </w:rPr>
        <w:t>2</w:t>
      </w:r>
      <w:r w:rsidRPr="00396E61">
        <w:rPr>
          <w:rFonts w:asciiTheme="majorBidi" w:hAnsiTheme="majorBidi" w:cstheme="majorBidi"/>
          <w:sz w:val="18"/>
          <w:szCs w:val="18"/>
        </w:rPr>
        <w:t>; Bouchdoug M</w:t>
      </w:r>
      <w:r w:rsidRPr="00396E61">
        <w:rPr>
          <w:rFonts w:asciiTheme="majorBidi" w:hAnsiTheme="majorBidi" w:cstheme="majorBidi"/>
          <w:sz w:val="18"/>
          <w:szCs w:val="18"/>
          <w:vertAlign w:val="superscript"/>
        </w:rPr>
        <w:t>1</w:t>
      </w:r>
      <w:r w:rsidRPr="00396E61">
        <w:rPr>
          <w:rFonts w:asciiTheme="majorBidi" w:hAnsiTheme="majorBidi" w:cstheme="majorBidi"/>
          <w:sz w:val="18"/>
          <w:szCs w:val="18"/>
        </w:rPr>
        <w:t>; Mahrouz M</w:t>
      </w:r>
      <w:r w:rsidRPr="00396E61">
        <w:rPr>
          <w:rFonts w:asciiTheme="majorBidi" w:hAnsiTheme="majorBidi" w:cstheme="majorBidi"/>
          <w:sz w:val="18"/>
          <w:szCs w:val="18"/>
          <w:vertAlign w:val="superscript"/>
        </w:rPr>
        <w:t>1</w:t>
      </w:r>
      <w:r w:rsidRPr="00396E61">
        <w:rPr>
          <w:rFonts w:asciiTheme="majorBidi" w:hAnsiTheme="majorBidi" w:cstheme="majorBidi"/>
          <w:sz w:val="18"/>
          <w:szCs w:val="18"/>
        </w:rPr>
        <w:t xml:space="preserve">;  </w:t>
      </w:r>
    </w:p>
    <w:p w:rsidR="00BF4E5A" w:rsidRPr="00396E61" w:rsidRDefault="00BF4E5A" w:rsidP="00BF4E5A">
      <w:pPr>
        <w:jc w:val="center"/>
        <w:rPr>
          <w:rFonts w:asciiTheme="majorBidi" w:hAnsiTheme="majorBidi" w:cstheme="majorBidi"/>
          <w:sz w:val="18"/>
          <w:szCs w:val="18"/>
        </w:rPr>
      </w:pPr>
      <w:r w:rsidRPr="00396E61">
        <w:rPr>
          <w:rFonts w:asciiTheme="majorBidi" w:hAnsiTheme="majorBidi" w:cstheme="majorBidi"/>
          <w:sz w:val="18"/>
          <w:szCs w:val="18"/>
          <w:vertAlign w:val="superscript"/>
        </w:rPr>
        <w:t>1</w:t>
      </w:r>
      <w:r w:rsidRPr="00396E61">
        <w:rPr>
          <w:rFonts w:asciiTheme="majorBidi" w:hAnsiTheme="majorBidi" w:cstheme="majorBidi"/>
          <w:sz w:val="18"/>
          <w:szCs w:val="18"/>
        </w:rPr>
        <w:t xml:space="preserve"> ERIDDECV Semlalia Marrakech Faculty of Sciences</w:t>
      </w:r>
    </w:p>
    <w:p w:rsidR="00BF4E5A" w:rsidRPr="00396E61" w:rsidRDefault="00BF4E5A" w:rsidP="00BF4E5A">
      <w:pPr>
        <w:jc w:val="center"/>
        <w:rPr>
          <w:rFonts w:asciiTheme="majorBidi" w:hAnsiTheme="majorBidi" w:cstheme="majorBidi"/>
          <w:sz w:val="18"/>
          <w:szCs w:val="18"/>
        </w:rPr>
      </w:pPr>
      <w:r w:rsidRPr="00396E61">
        <w:rPr>
          <w:rFonts w:asciiTheme="majorBidi" w:hAnsiTheme="majorBidi" w:cstheme="majorBidi"/>
          <w:sz w:val="18"/>
          <w:szCs w:val="18"/>
          <w:vertAlign w:val="superscript"/>
        </w:rPr>
        <w:t>2</w:t>
      </w:r>
      <w:r w:rsidRPr="00396E61">
        <w:rPr>
          <w:rFonts w:asciiTheme="majorBidi" w:hAnsiTheme="majorBidi" w:cstheme="majorBidi"/>
          <w:sz w:val="18"/>
          <w:szCs w:val="18"/>
        </w:rPr>
        <w:t xml:space="preserve"> University Hospital MOHAMMED IV Faculty of Medicine and Pharmacy Marrakech</w:t>
      </w:r>
    </w:p>
    <w:p w:rsidR="00BF4E5A" w:rsidRPr="00396E61" w:rsidRDefault="00BF4E5A" w:rsidP="00BF4E5A">
      <w:pPr>
        <w:jc w:val="center"/>
        <w:rPr>
          <w:rFonts w:asciiTheme="majorBidi" w:hAnsiTheme="majorBidi" w:cstheme="majorBidi"/>
          <w:sz w:val="18"/>
          <w:szCs w:val="18"/>
        </w:rPr>
      </w:pPr>
      <w:r w:rsidRPr="00396E61">
        <w:rPr>
          <w:rFonts w:asciiTheme="majorBidi" w:hAnsiTheme="majorBidi" w:cstheme="majorBidi"/>
          <w:sz w:val="18"/>
          <w:szCs w:val="18"/>
        </w:rPr>
        <w:t>nabilbouchra23@gmail.com</w:t>
      </w:r>
    </w:p>
    <w:p w:rsidR="00AE3E37" w:rsidRPr="00263AFD" w:rsidRDefault="00AE3E37">
      <w:pPr>
        <w:rPr>
          <w:rFonts w:ascii="Arial"/>
          <w:sz w:val="21"/>
        </w:rPr>
        <w:sectPr w:rsidR="00AE3E37" w:rsidRPr="00263AFD">
          <w:headerReference w:type="default" r:id="rId8"/>
          <w:footerReference w:type="default" r:id="rId9"/>
          <w:type w:val="continuous"/>
          <w:pgSz w:w="11910" w:h="16840"/>
          <w:pgMar w:top="1740" w:right="600" w:bottom="840" w:left="620" w:header="541" w:footer="642" w:gutter="0"/>
          <w:cols w:space="720"/>
        </w:sectPr>
      </w:pPr>
    </w:p>
    <w:p w:rsidR="00AE3E37" w:rsidRPr="00491ADB" w:rsidRDefault="00A9710C" w:rsidP="00491ADB">
      <w:pPr>
        <w:pStyle w:val="Titre3"/>
        <w:spacing w:before="147"/>
        <w:ind w:left="0"/>
        <w:jc w:val="both"/>
        <w:rPr>
          <w:rFonts w:asciiTheme="majorBidi" w:hAnsiTheme="majorBidi" w:cstheme="majorBidi"/>
        </w:rPr>
      </w:pPr>
      <w:r w:rsidRPr="00491ADB">
        <w:rPr>
          <w:rFonts w:asciiTheme="majorBidi" w:hAnsiTheme="majorBidi" w:cstheme="majorBidi"/>
        </w:rPr>
        <w:lastRenderedPageBreak/>
        <w:t>Abstract</w:t>
      </w:r>
      <w:r w:rsidR="00404E5B" w:rsidRPr="00491ADB">
        <w:rPr>
          <w:rFonts w:asciiTheme="majorBidi" w:hAnsiTheme="majorBidi" w:cstheme="majorBidi"/>
        </w:rPr>
        <w:t xml:space="preserve"> </w:t>
      </w:r>
    </w:p>
    <w:p w:rsidR="00625875" w:rsidRPr="00491ADB" w:rsidRDefault="00625875" w:rsidP="000A278A">
      <w:pPr>
        <w:jc w:val="both"/>
        <w:rPr>
          <w:rFonts w:asciiTheme="majorBidi" w:hAnsiTheme="majorBidi" w:cstheme="majorBidi"/>
        </w:rPr>
      </w:pPr>
      <w:r w:rsidRPr="00491ADB">
        <w:rPr>
          <w:rFonts w:asciiTheme="majorBidi" w:hAnsiTheme="majorBidi" w:cstheme="majorBidi"/>
        </w:rPr>
        <w:t>Sustainable food production is the need of the hour. These foods can help to prosper the local economy and improve the health of consumers.</w:t>
      </w:r>
      <w:r w:rsidR="000A278A" w:rsidRPr="00491ADB">
        <w:rPr>
          <w:rFonts w:asciiTheme="majorBidi" w:hAnsiTheme="majorBidi" w:cstheme="majorBidi"/>
        </w:rPr>
        <w:t xml:space="preserve"> </w:t>
      </w:r>
      <w:r w:rsidRPr="00491ADB">
        <w:rPr>
          <w:rFonts w:asciiTheme="majorBidi" w:hAnsiTheme="majorBidi" w:cstheme="majorBidi"/>
        </w:rPr>
        <w:t>In</w:t>
      </w:r>
      <w:r w:rsidR="000A278A" w:rsidRPr="00491ADB">
        <w:rPr>
          <w:rFonts w:asciiTheme="majorBidi" w:hAnsiTheme="majorBidi" w:cstheme="majorBidi"/>
        </w:rPr>
        <w:t>deed</w:t>
      </w:r>
      <w:r w:rsidRPr="00491ADB">
        <w:rPr>
          <w:rFonts w:asciiTheme="majorBidi" w:hAnsiTheme="majorBidi" w:cstheme="majorBidi"/>
        </w:rPr>
        <w:t xml:space="preserve">, consumers are </w:t>
      </w:r>
      <w:r w:rsidR="000A278A" w:rsidRPr="00491ADB">
        <w:rPr>
          <w:rFonts w:asciiTheme="majorBidi" w:hAnsiTheme="majorBidi" w:cstheme="majorBidi"/>
        </w:rPr>
        <w:t>requir</w:t>
      </w:r>
      <w:r w:rsidRPr="00491ADB">
        <w:rPr>
          <w:rFonts w:asciiTheme="majorBidi" w:hAnsiTheme="majorBidi" w:cstheme="majorBidi"/>
        </w:rPr>
        <w:t>ing new foods rich in nutrients, with acceptable organoleptic quality.</w:t>
      </w:r>
    </w:p>
    <w:p w:rsidR="00625875" w:rsidRPr="00491ADB" w:rsidRDefault="00625875" w:rsidP="00625875">
      <w:pPr>
        <w:jc w:val="both"/>
        <w:rPr>
          <w:rFonts w:asciiTheme="majorBidi" w:hAnsiTheme="majorBidi" w:cstheme="majorBidi"/>
        </w:rPr>
      </w:pPr>
      <w:r w:rsidRPr="00491ADB">
        <w:rPr>
          <w:rFonts w:asciiTheme="majorBidi" w:hAnsiTheme="majorBidi" w:cstheme="majorBidi"/>
        </w:rPr>
        <w:t>For this, current research has used alternative sources of plant origin rich in bioactive compounds, in the development of new food products (biscuits).</w:t>
      </w:r>
    </w:p>
    <w:p w:rsidR="00FC6456" w:rsidRPr="00491ADB" w:rsidRDefault="009F3F91" w:rsidP="00625875">
      <w:pPr>
        <w:jc w:val="both"/>
        <w:rPr>
          <w:rFonts w:asciiTheme="majorBidi" w:hAnsiTheme="majorBidi" w:cstheme="majorBidi"/>
        </w:rPr>
      </w:pPr>
      <w:r w:rsidRPr="00491ADB">
        <w:rPr>
          <w:rFonts w:asciiTheme="majorBidi" w:hAnsiTheme="majorBidi" w:cstheme="majorBidi"/>
        </w:rPr>
        <w:t>C</w:t>
      </w:r>
      <w:r w:rsidR="00FC6456" w:rsidRPr="00491ADB">
        <w:rPr>
          <w:rFonts w:asciiTheme="majorBidi" w:hAnsiTheme="majorBidi" w:cstheme="majorBidi"/>
        </w:rPr>
        <w:t xml:space="preserve">ladodes </w:t>
      </w:r>
      <w:r w:rsidRPr="00491ADB">
        <w:rPr>
          <w:rFonts w:asciiTheme="majorBidi" w:hAnsiTheme="majorBidi" w:cstheme="majorBidi"/>
        </w:rPr>
        <w:t xml:space="preserve">of </w:t>
      </w:r>
      <w:r w:rsidR="00FC6456" w:rsidRPr="00491ADB">
        <w:rPr>
          <w:rFonts w:asciiTheme="majorBidi" w:hAnsiTheme="majorBidi" w:cstheme="majorBidi"/>
          <w:i/>
          <w:iCs/>
        </w:rPr>
        <w:t>Opuntia ficus indica</w:t>
      </w:r>
      <w:r w:rsidRPr="00491ADB">
        <w:rPr>
          <w:rFonts w:asciiTheme="majorBidi" w:hAnsiTheme="majorBidi" w:cstheme="majorBidi"/>
        </w:rPr>
        <w:t xml:space="preserve"> </w:t>
      </w:r>
      <w:r w:rsidR="00625875" w:rsidRPr="00491ADB">
        <w:rPr>
          <w:rFonts w:asciiTheme="majorBidi" w:hAnsiTheme="majorBidi" w:cstheme="majorBidi"/>
        </w:rPr>
        <w:t xml:space="preserve">one of these plant origin which </w:t>
      </w:r>
      <w:r w:rsidR="00FC6456" w:rsidRPr="00491ADB">
        <w:rPr>
          <w:rFonts w:asciiTheme="majorBidi" w:hAnsiTheme="majorBidi" w:cstheme="majorBidi"/>
        </w:rPr>
        <w:t xml:space="preserve">contain </w:t>
      </w:r>
      <w:r w:rsidRPr="00491ADB">
        <w:rPr>
          <w:rFonts w:asciiTheme="majorBidi" w:hAnsiTheme="majorBidi" w:cstheme="majorBidi"/>
        </w:rPr>
        <w:t>several</w:t>
      </w:r>
      <w:r w:rsidR="00FC6456" w:rsidRPr="00491ADB">
        <w:rPr>
          <w:rFonts w:asciiTheme="majorBidi" w:hAnsiTheme="majorBidi" w:cstheme="majorBidi"/>
        </w:rPr>
        <w:t xml:space="preserve"> bioactive compounds </w:t>
      </w:r>
      <w:r w:rsidR="00625875" w:rsidRPr="00491ADB">
        <w:rPr>
          <w:rFonts w:asciiTheme="majorBidi" w:hAnsiTheme="majorBidi" w:cstheme="majorBidi"/>
        </w:rPr>
        <w:t>that</w:t>
      </w:r>
      <w:r w:rsidRPr="00491ADB">
        <w:rPr>
          <w:rFonts w:asciiTheme="majorBidi" w:hAnsiTheme="majorBidi" w:cstheme="majorBidi"/>
        </w:rPr>
        <w:t xml:space="preserve"> </w:t>
      </w:r>
      <w:r w:rsidR="00FC6456" w:rsidRPr="00491ADB">
        <w:rPr>
          <w:rFonts w:asciiTheme="majorBidi" w:hAnsiTheme="majorBidi" w:cstheme="majorBidi"/>
        </w:rPr>
        <w:t xml:space="preserve">have proven their importance in the prevention </w:t>
      </w:r>
      <w:r w:rsidR="00625875" w:rsidRPr="00491ADB">
        <w:rPr>
          <w:rFonts w:asciiTheme="majorBidi" w:hAnsiTheme="majorBidi" w:cstheme="majorBidi"/>
        </w:rPr>
        <w:t>and</w:t>
      </w:r>
      <w:r w:rsidR="00FC6456" w:rsidRPr="00491ADB">
        <w:rPr>
          <w:rFonts w:asciiTheme="majorBidi" w:hAnsiTheme="majorBidi" w:cstheme="majorBidi"/>
        </w:rPr>
        <w:t xml:space="preserve"> cure of many chronic diseases (cancer, hypertension, obesity, cardiovascular disease), this is the reason why the cladode</w:t>
      </w:r>
      <w:r w:rsidR="00625875" w:rsidRPr="00491ADB">
        <w:rPr>
          <w:rFonts w:asciiTheme="majorBidi" w:hAnsiTheme="majorBidi" w:cstheme="majorBidi"/>
        </w:rPr>
        <w:t xml:space="preserve"> flour </w:t>
      </w:r>
      <w:r w:rsidR="00FC6456" w:rsidRPr="00491ADB">
        <w:rPr>
          <w:rFonts w:asciiTheme="majorBidi" w:hAnsiTheme="majorBidi" w:cstheme="majorBidi"/>
        </w:rPr>
        <w:t xml:space="preserve">is </w:t>
      </w:r>
      <w:r w:rsidRPr="00491ADB">
        <w:rPr>
          <w:rFonts w:asciiTheme="majorBidi" w:hAnsiTheme="majorBidi" w:cstheme="majorBidi"/>
        </w:rPr>
        <w:t>currently used</w:t>
      </w:r>
      <w:r w:rsidR="00FC6456" w:rsidRPr="00491ADB">
        <w:rPr>
          <w:rFonts w:asciiTheme="majorBidi" w:hAnsiTheme="majorBidi" w:cstheme="majorBidi"/>
        </w:rPr>
        <w:t xml:space="preserve"> in pharmacological and food industry.</w:t>
      </w:r>
    </w:p>
    <w:p w:rsidR="000A0BF5" w:rsidRPr="00491ADB" w:rsidRDefault="000A278A" w:rsidP="000A278A">
      <w:pPr>
        <w:jc w:val="both"/>
        <w:rPr>
          <w:rFonts w:asciiTheme="majorBidi" w:hAnsiTheme="majorBidi" w:cstheme="majorBidi"/>
        </w:rPr>
      </w:pPr>
      <w:r w:rsidRPr="00491ADB">
        <w:rPr>
          <w:rFonts w:asciiTheme="majorBidi" w:hAnsiTheme="majorBidi" w:cstheme="majorBidi"/>
        </w:rPr>
        <w:t>Our study</w:t>
      </w:r>
      <w:r w:rsidR="000A0BF5" w:rsidRPr="00491ADB">
        <w:rPr>
          <w:rFonts w:asciiTheme="majorBidi" w:hAnsiTheme="majorBidi" w:cstheme="majorBidi"/>
        </w:rPr>
        <w:t xml:space="preserve"> show</w:t>
      </w:r>
      <w:r w:rsidRPr="00491ADB">
        <w:rPr>
          <w:rFonts w:asciiTheme="majorBidi" w:hAnsiTheme="majorBidi" w:cstheme="majorBidi"/>
        </w:rPr>
        <w:t>s</w:t>
      </w:r>
      <w:r w:rsidR="000A0BF5" w:rsidRPr="00491ADB">
        <w:rPr>
          <w:rFonts w:asciiTheme="majorBidi" w:hAnsiTheme="majorBidi" w:cstheme="majorBidi"/>
        </w:rPr>
        <w:t xml:space="preserve"> that </w:t>
      </w:r>
      <w:r w:rsidR="00DF419E" w:rsidRPr="00491ADB">
        <w:rPr>
          <w:rFonts w:asciiTheme="majorBidi" w:hAnsiTheme="majorBidi" w:cstheme="majorBidi"/>
        </w:rPr>
        <w:t>crackers based on cladode flour</w:t>
      </w:r>
      <w:r w:rsidR="000A0BF5" w:rsidRPr="00491ADB">
        <w:rPr>
          <w:rFonts w:asciiTheme="majorBidi" w:hAnsiTheme="majorBidi" w:cstheme="majorBidi"/>
        </w:rPr>
        <w:t xml:space="preserve"> of </w:t>
      </w:r>
      <w:r w:rsidR="000A0BF5" w:rsidRPr="00491ADB">
        <w:rPr>
          <w:rFonts w:asciiTheme="majorBidi" w:hAnsiTheme="majorBidi" w:cstheme="majorBidi"/>
          <w:i/>
          <w:iCs/>
        </w:rPr>
        <w:t>Opuntia ficus indica</w:t>
      </w:r>
      <w:r w:rsidR="000A0BF5" w:rsidRPr="00491ADB">
        <w:rPr>
          <w:rFonts w:asciiTheme="majorBidi" w:hAnsiTheme="majorBidi" w:cstheme="majorBidi"/>
        </w:rPr>
        <w:t xml:space="preserve"> present an interesting source of major and secondary nutrients and trace elements essential to the growth and development of the human body since the levels of certain elements far beyond the daily needs recommended by WHO</w:t>
      </w:r>
      <w:r w:rsidR="00625875" w:rsidRPr="00491ADB">
        <w:rPr>
          <w:rFonts w:asciiTheme="majorBidi" w:hAnsiTheme="majorBidi" w:cstheme="majorBidi"/>
        </w:rPr>
        <w:t>.</w:t>
      </w:r>
    </w:p>
    <w:p w:rsidR="00DD25D1" w:rsidRPr="00491ADB" w:rsidRDefault="00DD25D1" w:rsidP="00560FBB">
      <w:pPr>
        <w:jc w:val="both"/>
        <w:rPr>
          <w:rFonts w:asciiTheme="majorBidi" w:hAnsiTheme="majorBidi" w:cstheme="majorBidi"/>
        </w:rPr>
      </w:pPr>
      <w:r w:rsidRPr="00491ADB">
        <w:rPr>
          <w:rFonts w:asciiTheme="majorBidi" w:hAnsiTheme="majorBidi" w:cstheme="majorBidi"/>
        </w:rPr>
        <w:t xml:space="preserve">Functional properties studied and the result showed </w:t>
      </w:r>
      <w:r w:rsidR="00560FBB" w:rsidRPr="00491ADB">
        <w:rPr>
          <w:rFonts w:asciiTheme="majorBidi" w:hAnsiTheme="majorBidi" w:cstheme="majorBidi"/>
        </w:rPr>
        <w:t xml:space="preserve">that the flour obtained from cladodes has </w:t>
      </w:r>
      <w:r w:rsidRPr="00491ADB">
        <w:rPr>
          <w:rFonts w:asciiTheme="majorBidi" w:hAnsiTheme="majorBidi" w:cstheme="majorBidi"/>
        </w:rPr>
        <w:t>a great technological potentiality as water absorption capacity (4,87</w:t>
      </w:r>
      <w:r w:rsidR="00560FBB" w:rsidRPr="00491ADB">
        <w:rPr>
          <w:rFonts w:asciiTheme="majorBidi" w:hAnsiTheme="majorBidi" w:cstheme="majorBidi"/>
        </w:rPr>
        <w:t xml:space="preserve">%± </w:t>
      </w:r>
      <w:r w:rsidRPr="00491ADB">
        <w:rPr>
          <w:rFonts w:asciiTheme="majorBidi" w:hAnsiTheme="majorBidi" w:cstheme="majorBidi"/>
        </w:rPr>
        <w:t>0,09), swelling capacity(30,16</w:t>
      </w:r>
      <w:r w:rsidR="00560FBB" w:rsidRPr="00491ADB">
        <w:rPr>
          <w:rFonts w:asciiTheme="majorBidi" w:hAnsiTheme="majorBidi" w:cstheme="majorBidi"/>
        </w:rPr>
        <w:t xml:space="preserve"> %±</w:t>
      </w:r>
      <w:r w:rsidRPr="00491ADB">
        <w:rPr>
          <w:rFonts w:asciiTheme="majorBidi" w:hAnsiTheme="majorBidi" w:cstheme="majorBidi"/>
        </w:rPr>
        <w:t>1,89) and bulk density (0,95</w:t>
      </w:r>
      <w:r w:rsidR="00560FBB" w:rsidRPr="00491ADB">
        <w:rPr>
          <w:rFonts w:asciiTheme="majorBidi" w:hAnsiTheme="majorBidi" w:cstheme="majorBidi"/>
        </w:rPr>
        <w:t>g/ml ±</w:t>
      </w:r>
      <w:r w:rsidRPr="00491ADB">
        <w:rPr>
          <w:rFonts w:asciiTheme="majorBidi" w:hAnsiTheme="majorBidi" w:cstheme="majorBidi"/>
        </w:rPr>
        <w:t>0,009) compared to the whole wheat flour.</w:t>
      </w:r>
    </w:p>
    <w:p w:rsidR="00DD25D1" w:rsidRPr="00491ADB" w:rsidRDefault="00DD25D1" w:rsidP="00DD25D1">
      <w:pPr>
        <w:jc w:val="both"/>
        <w:rPr>
          <w:rFonts w:asciiTheme="majorBidi" w:hAnsiTheme="majorBidi" w:cstheme="majorBidi"/>
        </w:rPr>
      </w:pPr>
      <w:r w:rsidRPr="00491ADB">
        <w:rPr>
          <w:rFonts w:asciiTheme="majorBidi" w:hAnsiTheme="majorBidi" w:cstheme="majorBidi"/>
        </w:rPr>
        <w:t>All Results for the composite flour showed that bulk density, water absorption capacity, swelling capacity and solubility index increased according to increased levels of cladode flour</w:t>
      </w:r>
      <w:r w:rsidR="00560FBB" w:rsidRPr="00491ADB">
        <w:rPr>
          <w:rFonts w:asciiTheme="majorBidi" w:hAnsiTheme="majorBidi" w:cstheme="majorBidi"/>
        </w:rPr>
        <w:t xml:space="preserve"> </w:t>
      </w:r>
      <w:r w:rsidRPr="00491ADB">
        <w:rPr>
          <w:rFonts w:asciiTheme="majorBidi" w:hAnsiTheme="majorBidi" w:cstheme="majorBidi"/>
        </w:rPr>
        <w:t>enhanced, whereas gelatinization temperature and oil absorption capacity decreased;  in on the other hand the least gelation concentration has to remain constant for all composite flour</w:t>
      </w:r>
    </w:p>
    <w:p w:rsidR="000A278A" w:rsidRPr="00491ADB" w:rsidRDefault="00DF419E" w:rsidP="008319A2">
      <w:pPr>
        <w:jc w:val="both"/>
        <w:rPr>
          <w:rFonts w:asciiTheme="majorBidi" w:hAnsiTheme="majorBidi" w:cstheme="majorBidi"/>
        </w:rPr>
      </w:pPr>
      <w:r w:rsidRPr="00491ADB">
        <w:rPr>
          <w:rFonts w:asciiTheme="majorBidi" w:hAnsiTheme="majorBidi" w:cstheme="majorBidi"/>
        </w:rPr>
        <w:t>T</w:t>
      </w:r>
      <w:r w:rsidR="00CE1F54" w:rsidRPr="00491ADB">
        <w:rPr>
          <w:rFonts w:asciiTheme="majorBidi" w:hAnsiTheme="majorBidi" w:cstheme="majorBidi"/>
        </w:rPr>
        <w:t xml:space="preserve">he </w:t>
      </w:r>
      <w:r w:rsidR="00DD25D1" w:rsidRPr="00491ADB">
        <w:rPr>
          <w:rFonts w:asciiTheme="majorBidi" w:hAnsiTheme="majorBidi" w:cstheme="majorBidi"/>
        </w:rPr>
        <w:t xml:space="preserve">Proximate composition </w:t>
      </w:r>
      <w:r w:rsidR="00CE1F54" w:rsidRPr="00491ADB">
        <w:rPr>
          <w:rFonts w:asciiTheme="majorBidi" w:hAnsiTheme="majorBidi" w:cstheme="majorBidi"/>
        </w:rPr>
        <w:t xml:space="preserve">of crackers </w:t>
      </w:r>
      <w:r w:rsidRPr="00491ADB">
        <w:rPr>
          <w:rFonts w:asciiTheme="majorBidi" w:hAnsiTheme="majorBidi" w:cstheme="majorBidi"/>
        </w:rPr>
        <w:t xml:space="preserve">shows </w:t>
      </w:r>
      <w:r w:rsidR="000A278A" w:rsidRPr="00491ADB">
        <w:rPr>
          <w:rFonts w:asciiTheme="majorBidi" w:hAnsiTheme="majorBidi" w:cstheme="majorBidi"/>
        </w:rPr>
        <w:t>a variation according to the content of cladode flour (</w:t>
      </w:r>
      <w:r w:rsidR="008319A2">
        <w:rPr>
          <w:rFonts w:asciiTheme="majorBidi" w:hAnsiTheme="majorBidi" w:cstheme="majorBidi"/>
        </w:rPr>
        <w:t>C</w:t>
      </w:r>
      <w:r w:rsidR="00DD25D1" w:rsidRPr="00491ADB">
        <w:rPr>
          <w:rFonts w:asciiTheme="majorBidi" w:hAnsiTheme="majorBidi" w:cstheme="majorBidi"/>
        </w:rPr>
        <w:t>rude fat, ash content, pH</w:t>
      </w:r>
      <w:r w:rsidR="000A278A" w:rsidRPr="00491ADB">
        <w:rPr>
          <w:rFonts w:asciiTheme="majorBidi" w:hAnsiTheme="majorBidi" w:cstheme="majorBidi"/>
        </w:rPr>
        <w:t>, Titratable acidity, °Brix and Moisture)</w:t>
      </w:r>
    </w:p>
    <w:p w:rsidR="000A278A" w:rsidRPr="00491ADB" w:rsidRDefault="00DD25D1" w:rsidP="00DD25D1">
      <w:pPr>
        <w:jc w:val="both"/>
        <w:rPr>
          <w:rFonts w:asciiTheme="majorBidi" w:hAnsiTheme="majorBidi" w:cstheme="majorBidi"/>
        </w:rPr>
      </w:pPr>
      <w:r w:rsidRPr="00491ADB">
        <w:rPr>
          <w:rFonts w:asciiTheme="majorBidi" w:hAnsiTheme="majorBidi" w:cstheme="majorBidi"/>
        </w:rPr>
        <w:t>T</w:t>
      </w:r>
      <w:r w:rsidR="000A278A" w:rsidRPr="00491ADB">
        <w:rPr>
          <w:rFonts w:asciiTheme="majorBidi" w:hAnsiTheme="majorBidi" w:cstheme="majorBidi"/>
        </w:rPr>
        <w:t xml:space="preserve">he water activity of crackers is similar whatever the content of cladode </w:t>
      </w:r>
      <w:r w:rsidRPr="00491ADB">
        <w:rPr>
          <w:rFonts w:asciiTheme="majorBidi" w:hAnsiTheme="majorBidi" w:cstheme="majorBidi"/>
        </w:rPr>
        <w:t>flour</w:t>
      </w:r>
      <w:r w:rsidR="000A278A" w:rsidRPr="00491ADB">
        <w:rPr>
          <w:rFonts w:asciiTheme="majorBidi" w:hAnsiTheme="majorBidi" w:cstheme="majorBidi"/>
        </w:rPr>
        <w:t xml:space="preserve"> and</w:t>
      </w:r>
      <w:r w:rsidRPr="00491ADB">
        <w:rPr>
          <w:rFonts w:asciiTheme="majorBidi" w:hAnsiTheme="majorBidi" w:cstheme="majorBidi"/>
        </w:rPr>
        <w:t xml:space="preserve"> it is</w:t>
      </w:r>
      <w:r w:rsidR="000A278A" w:rsidRPr="00491ADB">
        <w:rPr>
          <w:rFonts w:asciiTheme="majorBidi" w:hAnsiTheme="majorBidi" w:cstheme="majorBidi"/>
        </w:rPr>
        <w:t xml:space="preserve"> in the standard of the </w:t>
      </w:r>
      <w:r w:rsidRPr="00491ADB">
        <w:rPr>
          <w:rFonts w:asciiTheme="majorBidi" w:hAnsiTheme="majorBidi" w:cstheme="majorBidi"/>
        </w:rPr>
        <w:t>baked products</w:t>
      </w:r>
      <w:r w:rsidR="000A278A" w:rsidRPr="00491ADB">
        <w:rPr>
          <w:rFonts w:asciiTheme="majorBidi" w:hAnsiTheme="majorBidi" w:cstheme="majorBidi"/>
        </w:rPr>
        <w:t xml:space="preserve"> (Aw = 0.4 to 0.6)</w:t>
      </w:r>
    </w:p>
    <w:p w:rsidR="00625875" w:rsidRPr="00491ADB" w:rsidRDefault="00625875" w:rsidP="00625875">
      <w:pPr>
        <w:jc w:val="both"/>
        <w:rPr>
          <w:rFonts w:asciiTheme="majorBidi" w:hAnsiTheme="majorBidi" w:cstheme="majorBidi"/>
        </w:rPr>
      </w:pPr>
      <w:r w:rsidRPr="00491ADB">
        <w:rPr>
          <w:rFonts w:asciiTheme="majorBidi" w:hAnsiTheme="majorBidi" w:cstheme="majorBidi"/>
        </w:rPr>
        <w:t>This work demonstrates the nutritional potential benefit attributed to this species, allowing the possibilities of using it as an alternative power source for both humans and animals for its remarkable therapeutic effect with no secondary effect.</w:t>
      </w:r>
    </w:p>
    <w:p w:rsidR="000A278A" w:rsidRDefault="000A278A" w:rsidP="00625875">
      <w:pPr>
        <w:jc w:val="both"/>
        <w:rPr>
          <w:rFonts w:asciiTheme="majorBidi" w:hAnsiTheme="majorBidi" w:cstheme="majorBidi"/>
        </w:rPr>
      </w:pPr>
    </w:p>
    <w:p w:rsidR="00D67080" w:rsidRDefault="00D67080" w:rsidP="00625875">
      <w:pPr>
        <w:jc w:val="both"/>
        <w:rPr>
          <w:rFonts w:asciiTheme="majorBidi" w:hAnsiTheme="majorBidi" w:cstheme="majorBidi"/>
        </w:rPr>
      </w:pPr>
    </w:p>
    <w:p w:rsidR="00D67080" w:rsidRPr="00625875" w:rsidRDefault="00D67080" w:rsidP="00625875">
      <w:pPr>
        <w:jc w:val="both"/>
        <w:rPr>
          <w:rFonts w:asciiTheme="majorBidi" w:hAnsiTheme="majorBidi" w:cstheme="majorBidi"/>
        </w:rPr>
      </w:pPr>
    </w:p>
    <w:p w:rsidR="00D67080" w:rsidRDefault="00D67080" w:rsidP="00491ADB">
      <w:pPr>
        <w:jc w:val="both"/>
        <w:rPr>
          <w:rFonts w:asciiTheme="majorBidi" w:hAnsiTheme="majorBidi" w:cstheme="majorBidi"/>
          <w:b/>
          <w:bCs/>
        </w:rPr>
      </w:pPr>
    </w:p>
    <w:p w:rsidR="00D67080" w:rsidRDefault="00D67080" w:rsidP="00491ADB">
      <w:pPr>
        <w:jc w:val="both"/>
        <w:rPr>
          <w:rFonts w:asciiTheme="majorBidi" w:hAnsiTheme="majorBidi" w:cstheme="majorBidi"/>
          <w:b/>
          <w:bCs/>
        </w:rPr>
      </w:pPr>
    </w:p>
    <w:p w:rsidR="00625875" w:rsidRDefault="00625875" w:rsidP="00D67080">
      <w:pPr>
        <w:jc w:val="both"/>
        <w:rPr>
          <w:rFonts w:asciiTheme="majorBidi" w:hAnsiTheme="majorBidi" w:cstheme="majorBidi"/>
        </w:rPr>
      </w:pPr>
      <w:r w:rsidRPr="00491ADB">
        <w:rPr>
          <w:rFonts w:asciiTheme="majorBidi" w:hAnsiTheme="majorBidi" w:cstheme="majorBidi"/>
          <w:b/>
          <w:bCs/>
        </w:rPr>
        <w:t>Keywords:</w:t>
      </w:r>
      <w:r w:rsidRPr="00625875">
        <w:rPr>
          <w:rFonts w:asciiTheme="majorBidi" w:hAnsiTheme="majorBidi" w:cstheme="majorBidi"/>
        </w:rPr>
        <w:t xml:space="preserve"> Cactus (Opuntia ficus indica);</w:t>
      </w:r>
      <w:r w:rsidR="000A278A">
        <w:rPr>
          <w:rFonts w:asciiTheme="majorBidi" w:hAnsiTheme="majorBidi" w:cstheme="majorBidi"/>
        </w:rPr>
        <w:t xml:space="preserve"> novel crackers;  </w:t>
      </w:r>
      <w:r w:rsidRPr="00625875">
        <w:rPr>
          <w:rFonts w:asciiTheme="majorBidi" w:hAnsiTheme="majorBidi" w:cstheme="majorBidi"/>
        </w:rPr>
        <w:t xml:space="preserve"> Nutritional quality; </w:t>
      </w:r>
      <w:r w:rsidR="00491ADB">
        <w:rPr>
          <w:rFonts w:asciiTheme="majorBidi" w:hAnsiTheme="majorBidi" w:cstheme="majorBidi"/>
        </w:rPr>
        <w:t>Fuctional properties; physicochemical</w:t>
      </w:r>
      <w:r w:rsidR="000A278A">
        <w:rPr>
          <w:rFonts w:asciiTheme="majorBidi" w:hAnsiTheme="majorBidi" w:cstheme="majorBidi"/>
        </w:rPr>
        <w:t xml:space="preserve"> properties; </w:t>
      </w:r>
      <w:r w:rsidR="00491ADB">
        <w:rPr>
          <w:rFonts w:asciiTheme="majorBidi" w:hAnsiTheme="majorBidi" w:cstheme="majorBidi"/>
        </w:rPr>
        <w:t>S</w:t>
      </w:r>
      <w:r w:rsidR="000A278A">
        <w:rPr>
          <w:rFonts w:asciiTheme="majorBidi" w:hAnsiTheme="majorBidi" w:cstheme="majorBidi"/>
        </w:rPr>
        <w:t>helf life</w:t>
      </w:r>
      <w:r w:rsidRPr="00625875">
        <w:rPr>
          <w:rFonts w:asciiTheme="majorBidi" w:hAnsiTheme="majorBidi" w:cstheme="majorBidi"/>
        </w:rPr>
        <w:t>.</w:t>
      </w:r>
    </w:p>
    <w:p w:rsidR="00CE1F54" w:rsidRDefault="00CE1F54" w:rsidP="00625875">
      <w:pPr>
        <w:jc w:val="both"/>
        <w:rPr>
          <w:rFonts w:asciiTheme="majorBidi" w:hAnsiTheme="majorBidi" w:cstheme="majorBidi"/>
        </w:rPr>
      </w:pPr>
    </w:p>
    <w:p w:rsidR="00451522" w:rsidRPr="00263AFD" w:rsidRDefault="00451522" w:rsidP="00625875">
      <w:pPr>
        <w:jc w:val="both"/>
        <w:rPr>
          <w:rFonts w:asciiTheme="majorBidi" w:hAnsiTheme="majorBidi" w:cstheme="majorBidi"/>
          <w:noProof/>
          <w:lang w:eastAsia="fr-FR"/>
        </w:rPr>
      </w:pPr>
    </w:p>
    <w:p w:rsidR="00451522" w:rsidRPr="00263AFD" w:rsidRDefault="00263AFD" w:rsidP="00625875">
      <w:pPr>
        <w:jc w:val="both"/>
        <w:rPr>
          <w:rFonts w:asciiTheme="majorBidi" w:hAnsiTheme="majorBidi" w:cstheme="majorBidi"/>
          <w:noProof/>
          <w:lang w:eastAsia="fr-FR"/>
        </w:rPr>
      </w:pPr>
      <w:r>
        <w:rPr>
          <w:rFonts w:asciiTheme="majorBidi" w:hAnsiTheme="majorBidi" w:cstheme="majorBidi"/>
          <w:noProof/>
          <w:lang w:val="fr-FR" w:eastAsia="fr-FR"/>
        </w:rPr>
        <w:drawing>
          <wp:inline distT="0" distB="0" distL="0" distR="0">
            <wp:extent cx="3165475" cy="1515506"/>
            <wp:effectExtent l="19050" t="19050" r="15875" b="27544"/>
            <wp:docPr id="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srcRect/>
                    <a:stretch>
                      <a:fillRect/>
                    </a:stretch>
                  </pic:blipFill>
                  <pic:spPr bwMode="auto">
                    <a:xfrm>
                      <a:off x="0" y="0"/>
                      <a:ext cx="3165475" cy="1515506"/>
                    </a:xfrm>
                    <a:prstGeom prst="rect">
                      <a:avLst/>
                    </a:prstGeom>
                    <a:noFill/>
                    <a:ln w="9525">
                      <a:solidFill>
                        <a:schemeClr val="accent1"/>
                      </a:solidFill>
                      <a:miter lim="800000"/>
                      <a:headEnd/>
                      <a:tailEnd/>
                    </a:ln>
                  </pic:spPr>
                </pic:pic>
              </a:graphicData>
            </a:graphic>
          </wp:inline>
        </w:drawing>
      </w:r>
    </w:p>
    <w:p w:rsidR="00451522" w:rsidRDefault="00451522" w:rsidP="00625875">
      <w:pPr>
        <w:jc w:val="both"/>
        <w:rPr>
          <w:rFonts w:asciiTheme="majorBidi" w:hAnsiTheme="majorBidi" w:cstheme="majorBidi"/>
          <w:noProof/>
          <w:lang w:val="fr-FR" w:eastAsia="fr-FR"/>
        </w:rPr>
      </w:pPr>
    </w:p>
    <w:p w:rsidR="005973B9" w:rsidRPr="00263AFD" w:rsidRDefault="008319A2" w:rsidP="006C61B8">
      <w:pPr>
        <w:spacing w:line="204" w:lineRule="exact"/>
        <w:rPr>
          <w:rFonts w:asciiTheme="majorBidi" w:hAnsiTheme="majorBidi" w:cstheme="majorBidi"/>
          <w:b/>
          <w:sz w:val="20"/>
          <w:lang w:val="fr-FR"/>
        </w:rPr>
      </w:pPr>
      <w:r>
        <w:rPr>
          <w:rFonts w:asciiTheme="majorBidi" w:hAnsiTheme="majorBidi" w:cstheme="majorBidi"/>
          <w:b/>
          <w:sz w:val="20"/>
        </w:rPr>
        <w:t xml:space="preserve">   </w:t>
      </w:r>
      <w:r w:rsidR="005973B9" w:rsidRPr="00263AFD">
        <w:rPr>
          <w:rFonts w:asciiTheme="majorBidi" w:hAnsiTheme="majorBidi" w:cstheme="majorBidi"/>
          <w:b/>
          <w:sz w:val="20"/>
          <w:lang w:val="fr-FR"/>
        </w:rPr>
        <w:t>Recent Publications</w:t>
      </w:r>
      <w:r w:rsidRPr="00263AFD">
        <w:rPr>
          <w:rFonts w:asciiTheme="majorBidi" w:hAnsiTheme="majorBidi" w:cstheme="majorBidi"/>
          <w:b/>
          <w:sz w:val="20"/>
          <w:lang w:val="fr-FR"/>
        </w:rPr>
        <w:t xml:space="preserve">: </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rPr>
      </w:pPr>
      <w:r w:rsidRPr="00263AFD">
        <w:rPr>
          <w:rFonts w:ascii="Times New Roman" w:hAnsi="Times New Roman" w:cs="Times New Roman"/>
          <w:noProof/>
          <w:sz w:val="18"/>
          <w:lang w:val="fr-FR"/>
        </w:rPr>
        <w:t>1-</w:t>
      </w:r>
      <w:r w:rsidR="004E7D3B" w:rsidRPr="000A0BF5">
        <w:rPr>
          <w:rFonts w:asciiTheme="majorBidi" w:hAnsiTheme="majorBidi" w:cstheme="majorBidi"/>
          <w:b/>
          <w:color w:val="BF5A14"/>
          <w:sz w:val="18"/>
          <w:szCs w:val="20"/>
        </w:rPr>
        <w:fldChar w:fldCharType="begin" w:fldLock="1"/>
      </w:r>
      <w:r w:rsidR="009F3F91" w:rsidRPr="00263AFD">
        <w:rPr>
          <w:rFonts w:asciiTheme="majorBidi" w:hAnsiTheme="majorBidi" w:cstheme="majorBidi"/>
          <w:b/>
          <w:color w:val="BF5A14"/>
          <w:sz w:val="18"/>
          <w:szCs w:val="20"/>
          <w:lang w:val="fr-FR"/>
        </w:rPr>
        <w:instrText xml:space="preserve">ADDIN Mendeley Bibliography CSL_BIBLIOGRAPHY </w:instrText>
      </w:r>
      <w:r w:rsidR="004E7D3B" w:rsidRPr="000A0BF5">
        <w:rPr>
          <w:rFonts w:asciiTheme="majorBidi" w:hAnsiTheme="majorBidi" w:cstheme="majorBidi"/>
          <w:b/>
          <w:color w:val="BF5A14"/>
          <w:sz w:val="18"/>
          <w:szCs w:val="20"/>
        </w:rPr>
        <w:fldChar w:fldCharType="separate"/>
      </w:r>
      <w:r w:rsidRPr="00263AFD">
        <w:rPr>
          <w:rFonts w:ascii="Times New Roman" w:hAnsi="Times New Roman" w:cs="Times New Roman"/>
          <w:noProof/>
          <w:sz w:val="18"/>
          <w:lang w:val="fr-FR"/>
        </w:rPr>
        <w:t xml:space="preserve">Ayadi, M. A. </w:t>
      </w:r>
      <w:r w:rsidRPr="00263AFD">
        <w:rPr>
          <w:rFonts w:ascii="Times New Roman" w:hAnsi="Times New Roman" w:cs="Times New Roman"/>
          <w:i/>
          <w:iCs/>
          <w:noProof/>
          <w:sz w:val="18"/>
          <w:lang w:val="fr-FR"/>
        </w:rPr>
        <w:t>et al.</w:t>
      </w:r>
      <w:r w:rsidRPr="00263AFD">
        <w:rPr>
          <w:rFonts w:ascii="Times New Roman" w:hAnsi="Times New Roman" w:cs="Times New Roman"/>
          <w:noProof/>
          <w:sz w:val="18"/>
          <w:lang w:val="fr-FR"/>
        </w:rPr>
        <w:t xml:space="preserve"> </w:t>
      </w:r>
      <w:r w:rsidRPr="000A0BF5">
        <w:rPr>
          <w:rFonts w:ascii="Times New Roman" w:hAnsi="Times New Roman" w:cs="Times New Roman"/>
          <w:noProof/>
          <w:sz w:val="18"/>
        </w:rPr>
        <w:t>(2009) ‘Cladodes from Opuntia ficus indica as a source of dietary fiber : Effect on dough characteristics and cake making’, 30, pp. 40–47. doi: 10.1016/j.indcrop.2009.01.003.</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rPr>
      </w:pPr>
      <w:r>
        <w:rPr>
          <w:rFonts w:ascii="Times New Roman" w:hAnsi="Times New Roman" w:cs="Times New Roman"/>
          <w:noProof/>
          <w:sz w:val="18"/>
        </w:rPr>
        <w:t xml:space="preserve">2- </w:t>
      </w:r>
      <w:r w:rsidRPr="000A0BF5">
        <w:rPr>
          <w:rFonts w:ascii="Times New Roman" w:hAnsi="Times New Roman" w:cs="Times New Roman"/>
          <w:noProof/>
          <w:sz w:val="18"/>
        </w:rPr>
        <w:t xml:space="preserve">Boukid, F. </w:t>
      </w:r>
      <w:r w:rsidRPr="000A0BF5">
        <w:rPr>
          <w:rFonts w:ascii="Times New Roman" w:hAnsi="Times New Roman" w:cs="Times New Roman"/>
          <w:i/>
          <w:iCs/>
          <w:noProof/>
          <w:sz w:val="18"/>
        </w:rPr>
        <w:t>et al.</w:t>
      </w:r>
      <w:r w:rsidRPr="000A0BF5">
        <w:rPr>
          <w:rFonts w:ascii="Times New Roman" w:hAnsi="Times New Roman" w:cs="Times New Roman"/>
          <w:noProof/>
          <w:sz w:val="18"/>
        </w:rPr>
        <w:t xml:space="preserve"> (2015) ‘Opuntia Cladodes : Physicochemical parameters , Functional Properties and Application in Formulation of Rolled Cake of Cladode Flour Fabric ( Part 2 )’, 1(4).</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rPr>
      </w:pPr>
      <w:r>
        <w:rPr>
          <w:rFonts w:ascii="Times New Roman" w:hAnsi="Times New Roman" w:cs="Times New Roman"/>
          <w:noProof/>
          <w:sz w:val="18"/>
        </w:rPr>
        <w:t xml:space="preserve">3- </w:t>
      </w:r>
      <w:r w:rsidRPr="000A0BF5">
        <w:rPr>
          <w:rFonts w:ascii="Times New Roman" w:hAnsi="Times New Roman" w:cs="Times New Roman"/>
          <w:noProof/>
          <w:sz w:val="18"/>
        </w:rPr>
        <w:t xml:space="preserve">Cheng, Y. F. and Bhat, R. (2016) </w:t>
      </w:r>
      <w:r w:rsidRPr="000A0BF5">
        <w:rPr>
          <w:rFonts w:ascii="Times New Roman" w:hAnsi="Times New Roman" w:cs="Times New Roman"/>
          <w:i/>
          <w:iCs/>
          <w:noProof/>
          <w:sz w:val="18"/>
        </w:rPr>
        <w:t>Author ’ s Accepted Manuscript</w:t>
      </w:r>
      <w:r w:rsidRPr="000A0BF5">
        <w:rPr>
          <w:rFonts w:ascii="Times New Roman" w:hAnsi="Times New Roman" w:cs="Times New Roman"/>
          <w:noProof/>
          <w:sz w:val="18"/>
        </w:rPr>
        <w:t xml:space="preserve">, </w:t>
      </w:r>
      <w:r w:rsidRPr="000A0BF5">
        <w:rPr>
          <w:rFonts w:ascii="Times New Roman" w:hAnsi="Times New Roman" w:cs="Times New Roman"/>
          <w:i/>
          <w:iCs/>
          <w:noProof/>
          <w:sz w:val="18"/>
        </w:rPr>
        <w:t>Food Bioscience</w:t>
      </w:r>
      <w:r w:rsidRPr="000A0BF5">
        <w:rPr>
          <w:rFonts w:ascii="Times New Roman" w:hAnsi="Times New Roman" w:cs="Times New Roman"/>
          <w:noProof/>
          <w:sz w:val="18"/>
        </w:rPr>
        <w:t>. Elsevier. doi: 10.1016/j.fbio.2016.03.002.</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rPr>
      </w:pPr>
      <w:r>
        <w:rPr>
          <w:rFonts w:ascii="Times New Roman" w:hAnsi="Times New Roman" w:cs="Times New Roman"/>
          <w:noProof/>
          <w:sz w:val="18"/>
        </w:rPr>
        <w:t xml:space="preserve">4- </w:t>
      </w:r>
      <w:r w:rsidRPr="000A0BF5">
        <w:rPr>
          <w:rFonts w:ascii="Times New Roman" w:hAnsi="Times New Roman" w:cs="Times New Roman"/>
          <w:noProof/>
          <w:sz w:val="18"/>
        </w:rPr>
        <w:t xml:space="preserve">Danbaba, N. </w:t>
      </w:r>
      <w:r w:rsidRPr="000A0BF5">
        <w:rPr>
          <w:rFonts w:ascii="Times New Roman" w:hAnsi="Times New Roman" w:cs="Times New Roman"/>
          <w:i/>
          <w:iCs/>
          <w:noProof/>
          <w:sz w:val="18"/>
        </w:rPr>
        <w:t>et al.</w:t>
      </w:r>
      <w:r w:rsidRPr="000A0BF5">
        <w:rPr>
          <w:rFonts w:ascii="Times New Roman" w:hAnsi="Times New Roman" w:cs="Times New Roman"/>
          <w:noProof/>
          <w:sz w:val="18"/>
        </w:rPr>
        <w:t xml:space="preserve"> (2012) ‘Physical and Pasting Properties of “ Ofada ” Rice ( Oryza sativa L . ) Varieties’, </w:t>
      </w:r>
      <w:r w:rsidRPr="000A0BF5">
        <w:rPr>
          <w:rFonts w:ascii="Times New Roman" w:hAnsi="Times New Roman" w:cs="Times New Roman"/>
          <w:i/>
          <w:iCs/>
          <w:noProof/>
          <w:sz w:val="18"/>
        </w:rPr>
        <w:t>Nigerian Food Journal</w:t>
      </w:r>
      <w:r w:rsidRPr="000A0BF5">
        <w:rPr>
          <w:rFonts w:ascii="Times New Roman" w:hAnsi="Times New Roman" w:cs="Times New Roman"/>
          <w:noProof/>
          <w:sz w:val="18"/>
        </w:rPr>
        <w:t>. Elsevier Masson SAS, 30(1), pp. 18–25. doi: 10.1016/S0189-7241(15)30009-6.</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rPr>
      </w:pPr>
      <w:r>
        <w:rPr>
          <w:rFonts w:ascii="Times New Roman" w:hAnsi="Times New Roman" w:cs="Times New Roman"/>
          <w:noProof/>
          <w:sz w:val="18"/>
        </w:rPr>
        <w:t xml:space="preserve">5- </w:t>
      </w:r>
      <w:r w:rsidRPr="000A0BF5">
        <w:rPr>
          <w:rFonts w:ascii="Times New Roman" w:hAnsi="Times New Roman" w:cs="Times New Roman"/>
          <w:noProof/>
          <w:sz w:val="18"/>
        </w:rPr>
        <w:t>Díez, C. (2015) ‘LWT - Food Science and Technology The addition of cladodes ( Opuntia fi cus indica L . Miller ) to instant maize fl our improves physicochemical and nutritional properties of maize tortillas’, 62. doi: 10.1016/j.lwt.2014.12.021.</w:t>
      </w:r>
    </w:p>
    <w:p w:rsidR="000A0BF5" w:rsidRPr="000A0BF5" w:rsidRDefault="000A0BF5" w:rsidP="000A0BF5">
      <w:pPr>
        <w:autoSpaceDE w:val="0"/>
        <w:autoSpaceDN w:val="0"/>
        <w:adjustRightInd w:val="0"/>
        <w:spacing w:line="240" w:lineRule="exact"/>
        <w:ind w:left="284"/>
        <w:jc w:val="both"/>
        <w:rPr>
          <w:rFonts w:ascii="Times New Roman" w:hAnsi="Times New Roman" w:cs="Times New Roman"/>
          <w:noProof/>
          <w:sz w:val="18"/>
          <w:szCs w:val="20"/>
        </w:rPr>
      </w:pPr>
      <w:r>
        <w:rPr>
          <w:rFonts w:ascii="Times New Roman" w:hAnsi="Times New Roman" w:cs="Times New Roman"/>
          <w:noProof/>
          <w:sz w:val="18"/>
        </w:rPr>
        <w:t xml:space="preserve">6- </w:t>
      </w:r>
      <w:r w:rsidRPr="000A0BF5">
        <w:rPr>
          <w:rFonts w:ascii="Times New Roman" w:hAnsi="Times New Roman" w:cs="Times New Roman"/>
          <w:noProof/>
          <w:sz w:val="18"/>
        </w:rPr>
        <w:t xml:space="preserve">Wani, S. A. and Kumar, P. (2016) ‘Moisture sorption isotherms and evaluation of quality changes in extruded snacks during storage’, </w:t>
      </w:r>
      <w:r w:rsidRPr="000A0BF5">
        <w:rPr>
          <w:rFonts w:ascii="Times New Roman" w:hAnsi="Times New Roman" w:cs="Times New Roman"/>
          <w:i/>
          <w:iCs/>
          <w:noProof/>
          <w:sz w:val="18"/>
        </w:rPr>
        <w:t>LWT - Food Science and Technology</w:t>
      </w:r>
      <w:r w:rsidRPr="000A0BF5">
        <w:rPr>
          <w:rFonts w:ascii="Times New Roman" w:hAnsi="Times New Roman" w:cs="Times New Roman"/>
          <w:noProof/>
          <w:sz w:val="18"/>
        </w:rPr>
        <w:t>. Elsevier Ltd, 74, pp. 448–455. doi: 10.1016/j.lwt.2016.08.005.</w:t>
      </w:r>
    </w:p>
    <w:p w:rsidR="00932900" w:rsidRPr="000A0BF5" w:rsidRDefault="004E7D3B" w:rsidP="000A0BF5">
      <w:pPr>
        <w:autoSpaceDE w:val="0"/>
        <w:autoSpaceDN w:val="0"/>
        <w:adjustRightInd w:val="0"/>
        <w:spacing w:line="240" w:lineRule="exact"/>
        <w:ind w:left="284" w:hanging="480"/>
        <w:jc w:val="both"/>
        <w:rPr>
          <w:rFonts w:ascii="Arial"/>
          <w:b/>
          <w:color w:val="BF5A14"/>
          <w:sz w:val="18"/>
          <w:szCs w:val="20"/>
        </w:rPr>
      </w:pPr>
      <w:r w:rsidRPr="000A0BF5">
        <w:rPr>
          <w:rFonts w:asciiTheme="majorBidi" w:hAnsiTheme="majorBidi" w:cstheme="majorBidi"/>
          <w:b/>
          <w:color w:val="BF5A14"/>
          <w:sz w:val="18"/>
          <w:szCs w:val="20"/>
        </w:rPr>
        <w:fldChar w:fldCharType="end"/>
      </w:r>
    </w:p>
    <w:p w:rsidR="00932900" w:rsidRDefault="00932900" w:rsidP="006C61B8">
      <w:pPr>
        <w:spacing w:line="204" w:lineRule="exact"/>
        <w:rPr>
          <w:rFonts w:ascii="Arial"/>
          <w:b/>
          <w:color w:val="BF5A14"/>
          <w:sz w:val="20"/>
        </w:rPr>
      </w:pPr>
    </w:p>
    <w:p w:rsidR="00932900" w:rsidRDefault="00932900"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CE1F54" w:rsidRDefault="00CE1F54" w:rsidP="006C61B8">
      <w:pPr>
        <w:spacing w:line="204" w:lineRule="exact"/>
        <w:rPr>
          <w:rFonts w:ascii="Arial"/>
          <w:b/>
          <w:color w:val="BF5A14"/>
          <w:sz w:val="20"/>
        </w:rPr>
      </w:pPr>
    </w:p>
    <w:p w:rsidR="00932900" w:rsidRDefault="00932900" w:rsidP="006C61B8">
      <w:pPr>
        <w:spacing w:line="204" w:lineRule="exact"/>
        <w:rPr>
          <w:rFonts w:ascii="Arial"/>
          <w:b/>
          <w:sz w:val="20"/>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D67080">
          <w:type w:val="continuous"/>
          <w:pgSz w:w="11910" w:h="16840"/>
          <w:pgMar w:top="1740" w:right="600" w:bottom="840" w:left="620" w:header="720" w:footer="720" w:gutter="0"/>
          <w:cols w:num="2" w:space="720" w:equalWidth="0">
            <w:col w:w="5050" w:space="567"/>
            <w:col w:w="5073"/>
          </w:cols>
        </w:sectPr>
      </w:pPr>
    </w:p>
    <w:p w:rsidR="00AE3E37" w:rsidRDefault="004E7D3B">
      <w:pPr>
        <w:pStyle w:val="Corpsdetexte"/>
        <w:spacing w:line="40" w:lineRule="exact"/>
        <w:ind w:left="2202"/>
        <w:rPr>
          <w:rFonts w:ascii="Calibri"/>
          <w:sz w:val="4"/>
        </w:rPr>
      </w:pPr>
      <w:r w:rsidRPr="004E7D3B">
        <w:rPr>
          <w:rFonts w:ascii="Calibri"/>
          <w:noProof/>
          <w:sz w:val="4"/>
          <w:lang w:val="en-IN" w:eastAsia="en-IN"/>
        </w:rPr>
      </w:r>
      <w:r w:rsidRPr="004E7D3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E7D3B" w:rsidP="00CE1F54">
      <w:pPr>
        <w:spacing w:before="92"/>
        <w:ind w:right="4234"/>
        <w:rPr>
          <w:rFonts w:asciiTheme="majorBidi" w:hAnsiTheme="majorBidi" w:cstheme="majorBidi"/>
          <w:b/>
          <w:bCs/>
        </w:rPr>
      </w:pPr>
      <w:r w:rsidRPr="004E7D3B">
        <w:rPr>
          <w:rFonts w:asciiTheme="majorBidi" w:hAnsiTheme="majorBidi" w:cstheme="majorBidi"/>
          <w:noProof/>
        </w:rPr>
        <w:pict>
          <v:shapetype id="_x0000_t202" coordsize="21600,21600" o:spt="202" path="m,l,21600r21600,l21600,xe">
            <v:stroke joinstyle="miter"/>
            <v:path gradientshapeok="t" o:connecttype="rect"/>
          </v:shapetype>
          <v:shape id="_x0000_s1040" type="#_x0000_t202" style="position:absolute;margin-left:55.2pt;margin-top:12pt;width:455.95pt;height:215.35pt;z-index:251660288;mso-width-relative:margin;mso-height-relative:margin" stroked="f">
            <v:textbox>
              <w:txbxContent>
                <w:p w:rsidR="008319A2" w:rsidRDefault="008319A2" w:rsidP="008319A2">
                  <w:pPr>
                    <w:spacing w:line="360" w:lineRule="auto"/>
                    <w:jc w:val="both"/>
                    <w:rPr>
                      <w:rFonts w:asciiTheme="majorBidi" w:eastAsia="Times New Roman" w:hAnsiTheme="majorBidi" w:cstheme="majorBidi"/>
                    </w:rPr>
                  </w:pPr>
                  <w:r w:rsidRPr="008319A2">
                    <w:rPr>
                      <w:noProof/>
                      <w:lang w:val="fr-FR" w:eastAsia="fr-FR"/>
                    </w:rPr>
                    <w:drawing>
                      <wp:inline distT="0" distB="0" distL="0" distR="0">
                        <wp:extent cx="860395" cy="1122122"/>
                        <wp:effectExtent l="19050" t="19050" r="15905" b="20878"/>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864281" cy="1127190"/>
                                </a:xfrm>
                                <a:prstGeom prst="rect">
                                  <a:avLst/>
                                </a:prstGeom>
                                <a:noFill/>
                                <a:ln w="9525">
                                  <a:solidFill>
                                    <a:schemeClr val="accent1"/>
                                  </a:solidFill>
                                  <a:miter lim="800000"/>
                                  <a:headEnd/>
                                  <a:tailEnd/>
                                </a:ln>
                              </pic:spPr>
                            </pic:pic>
                          </a:graphicData>
                        </a:graphic>
                      </wp:inline>
                    </w:drawing>
                  </w:r>
                  <w:r>
                    <w:rPr>
                      <w:rFonts w:asciiTheme="majorBidi" w:eastAsia="Times New Roman" w:hAnsiTheme="majorBidi" w:cstheme="majorBidi"/>
                    </w:rPr>
                    <w:t xml:space="preserve"> </w:t>
                  </w:r>
                  <w:r w:rsidRPr="00CE1F54">
                    <w:rPr>
                      <w:rFonts w:asciiTheme="majorBidi" w:eastAsia="Times New Roman" w:hAnsiTheme="majorBidi" w:cstheme="majorBidi"/>
                    </w:rPr>
                    <w:t xml:space="preserve">BOUCHRA NABIL, PhD student </w:t>
                  </w:r>
                  <w:r w:rsidRPr="00CE1F54">
                    <w:rPr>
                      <w:rFonts w:asciiTheme="majorBidi" w:hAnsiTheme="majorBidi" w:cstheme="majorBidi"/>
                      <w:color w:val="222222"/>
                      <w:shd w:val="clear" w:color="auto" w:fill="FFFFFF"/>
                    </w:rPr>
                    <w:t xml:space="preserve">belonging to the </w:t>
                  </w:r>
                  <w:r w:rsidRPr="00CE1F54">
                    <w:rPr>
                      <w:rFonts w:asciiTheme="majorBidi" w:hAnsiTheme="majorBidi" w:cstheme="majorBidi"/>
                      <w:color w:val="222222"/>
                    </w:rPr>
                    <w:t>Research team of innovation and sustainable development expertise in green chemistry</w:t>
                  </w:r>
                  <w:r w:rsidRPr="00CE1F54">
                    <w:rPr>
                      <w:rFonts w:asciiTheme="majorBidi" w:hAnsiTheme="majorBidi" w:cstheme="majorBidi"/>
                      <w:color w:val="222222"/>
                      <w:shd w:val="clear" w:color="auto" w:fill="FFFFFF"/>
                    </w:rPr>
                    <w:t xml:space="preserve">, she </w:t>
                  </w:r>
                  <w:r w:rsidRPr="00CE1F54">
                    <w:rPr>
                      <w:rFonts w:asciiTheme="majorBidi" w:eastAsia="Times New Roman" w:hAnsiTheme="majorBidi" w:cstheme="majorBidi"/>
                    </w:rPr>
                    <w:t xml:space="preserve">is currently studying at SEMLALIA science faculty, University Cadi Ayyad Marrakech </w:t>
                  </w:r>
                  <w:r w:rsidRPr="00CE1F54">
                    <w:rPr>
                      <w:rFonts w:asciiTheme="majorBidi" w:hAnsiTheme="majorBidi" w:cstheme="majorBidi"/>
                      <w:color w:val="222222"/>
                      <w:shd w:val="clear" w:color="auto" w:fill="FFFFFF"/>
                    </w:rPr>
                    <w:t>under the supervision of professors Mustafa Mahrouz</w:t>
                  </w:r>
                  <w:r w:rsidRPr="00CE1F54">
                    <w:rPr>
                      <w:rFonts w:asciiTheme="majorBidi" w:eastAsia="Times New Roman" w:hAnsiTheme="majorBidi" w:cstheme="majorBidi"/>
                    </w:rPr>
                    <w:t>.  She</w:t>
                  </w:r>
                  <w:r>
                    <w:rPr>
                      <w:rFonts w:asciiTheme="majorBidi" w:eastAsia="Times New Roman" w:hAnsiTheme="majorBidi" w:cstheme="majorBidi"/>
                    </w:rPr>
                    <w:t xml:space="preserve"> </w:t>
                  </w:r>
                  <w:r w:rsidRPr="00CE1F54">
                    <w:rPr>
                      <w:rFonts w:asciiTheme="majorBidi" w:eastAsia="Times New Roman" w:hAnsiTheme="majorBidi" w:cstheme="majorBidi"/>
                    </w:rPr>
                    <w:t>got her Masters on FOOD TECHNOLOGY from the University Cadi AYYAD in 2014. She is currently participing in a scholarly project: Priority Research program (PPR-B-Mahrouz-FS-UCA- Marrakesh)</w:t>
                  </w:r>
                </w:p>
                <w:p w:rsidR="00396E61" w:rsidRDefault="00396E61" w:rsidP="00396E61">
                  <w:pPr>
                    <w:spacing w:line="360" w:lineRule="auto"/>
                    <w:jc w:val="center"/>
                    <w:rPr>
                      <w:rFonts w:asciiTheme="majorBidi" w:eastAsia="Times New Roman" w:hAnsiTheme="majorBidi" w:cstheme="majorBidi"/>
                    </w:rPr>
                  </w:pPr>
                  <w:r>
                    <w:rPr>
                      <w:rFonts w:asciiTheme="majorBidi" w:eastAsia="Times New Roman" w:hAnsiTheme="majorBidi" w:cstheme="majorBidi"/>
                    </w:rPr>
                    <w:t>Email : nabilbouchra23@gmail.com</w:t>
                  </w:r>
                </w:p>
                <w:p w:rsidR="008319A2" w:rsidRDefault="008319A2" w:rsidP="008319A2">
                  <w:pPr>
                    <w:spacing w:line="360" w:lineRule="auto"/>
                    <w:jc w:val="both"/>
                    <w:rPr>
                      <w:rFonts w:asciiTheme="majorBidi" w:eastAsia="Times New Roman" w:hAnsiTheme="majorBidi" w:cstheme="majorBidi"/>
                    </w:rPr>
                  </w:pPr>
                </w:p>
                <w:p w:rsidR="008319A2" w:rsidRPr="008319A2" w:rsidRDefault="008319A2" w:rsidP="008319A2"/>
              </w:txbxContent>
            </v:textbox>
          </v:shape>
        </w:pict>
      </w:r>
      <w:r w:rsidR="00A9710C" w:rsidRPr="008319A2">
        <w:rPr>
          <w:rFonts w:asciiTheme="majorBidi" w:hAnsiTheme="majorBidi" w:cstheme="majorBidi"/>
          <w:b/>
          <w:bCs/>
        </w:rPr>
        <w:t>Biography</w:t>
      </w:r>
      <w:r w:rsidR="00404E5B" w:rsidRPr="008319A2">
        <w:rPr>
          <w:rFonts w:asciiTheme="majorBidi" w:hAnsiTheme="majorBidi" w:cstheme="majorBidi"/>
          <w:b/>
          <w:bCs/>
        </w:rPr>
        <w:t xml:space="preserve"> </w:t>
      </w:r>
    </w:p>
    <w:p w:rsidR="008319A2" w:rsidRDefault="008319A2" w:rsidP="00CE1F54">
      <w:pPr>
        <w:spacing w:before="92"/>
        <w:ind w:right="4234"/>
        <w:rPr>
          <w:rFonts w:asciiTheme="majorBidi" w:hAnsiTheme="majorBidi" w:cstheme="majorBidi"/>
          <w:b/>
          <w:bCs/>
        </w:rPr>
      </w:pPr>
    </w:p>
    <w:p w:rsidR="008319A2" w:rsidRDefault="008319A2" w:rsidP="00CE1F54">
      <w:pPr>
        <w:spacing w:before="92"/>
        <w:ind w:right="4234"/>
        <w:rPr>
          <w:rFonts w:asciiTheme="majorBidi" w:hAnsiTheme="majorBidi" w:cstheme="majorBidi"/>
          <w:b/>
          <w:bCs/>
        </w:rPr>
      </w:pPr>
    </w:p>
    <w:p w:rsidR="008319A2" w:rsidRDefault="008319A2" w:rsidP="00CE1F54">
      <w:pPr>
        <w:spacing w:before="92"/>
        <w:ind w:right="4234"/>
        <w:rPr>
          <w:rFonts w:asciiTheme="majorBidi" w:hAnsiTheme="majorBidi" w:cstheme="majorBidi"/>
          <w:b/>
          <w:bCs/>
        </w:rPr>
      </w:pPr>
    </w:p>
    <w:p w:rsidR="008319A2" w:rsidRDefault="008319A2" w:rsidP="00CE1F54">
      <w:pPr>
        <w:spacing w:before="92"/>
        <w:ind w:right="4234"/>
        <w:rPr>
          <w:rFonts w:asciiTheme="majorBidi" w:hAnsiTheme="majorBidi" w:cstheme="majorBidi"/>
          <w:b/>
          <w:bCs/>
        </w:rPr>
      </w:pPr>
    </w:p>
    <w:p w:rsidR="008319A2" w:rsidRPr="008319A2" w:rsidRDefault="008319A2" w:rsidP="00CE1F54">
      <w:pPr>
        <w:spacing w:before="92"/>
        <w:ind w:right="4234"/>
        <w:rPr>
          <w:rFonts w:asciiTheme="majorBidi" w:hAnsiTheme="majorBidi" w:cstheme="majorBidi"/>
          <w:b/>
          <w:bCs/>
        </w:rPr>
      </w:pPr>
    </w:p>
    <w:p w:rsidR="008319A2" w:rsidRDefault="008319A2" w:rsidP="00845C64">
      <w:pPr>
        <w:spacing w:before="41" w:line="154" w:lineRule="exact"/>
        <w:ind w:right="231"/>
        <w:jc w:val="both"/>
        <w:rPr>
          <w:rFonts w:ascii="Arial"/>
        </w:rPr>
      </w:pPr>
    </w:p>
    <w:p w:rsidR="008319A2" w:rsidRDefault="008319A2" w:rsidP="00845C64">
      <w:pPr>
        <w:spacing w:before="41" w:line="154" w:lineRule="exact"/>
        <w:ind w:right="231"/>
        <w:jc w:val="both"/>
        <w:rPr>
          <w:rFonts w:ascii="Arial"/>
        </w:rPr>
      </w:pPr>
    </w:p>
    <w:p w:rsidR="008319A2" w:rsidRDefault="008319A2" w:rsidP="00845C64">
      <w:pPr>
        <w:spacing w:before="41" w:line="154" w:lineRule="exact"/>
        <w:ind w:right="231"/>
        <w:jc w:val="both"/>
        <w:rPr>
          <w:rFonts w:ascii="Arial"/>
        </w:rPr>
      </w:pPr>
    </w:p>
    <w:p w:rsidR="008319A2" w:rsidRDefault="008319A2" w:rsidP="00845C64">
      <w:pPr>
        <w:spacing w:before="41" w:line="154" w:lineRule="exact"/>
        <w:ind w:right="231"/>
        <w:jc w:val="both"/>
        <w:rPr>
          <w:rFonts w:ascii="Arial"/>
        </w:rPr>
      </w:pPr>
    </w:p>
    <w:p w:rsidR="008319A2" w:rsidRDefault="008319A2" w:rsidP="00845C64">
      <w:pPr>
        <w:spacing w:before="41" w:line="154" w:lineRule="exact"/>
        <w:ind w:right="231"/>
        <w:jc w:val="both"/>
        <w:rPr>
          <w:rFonts w:ascii="Arial"/>
        </w:rPr>
      </w:pPr>
    </w:p>
    <w:p w:rsidR="008319A2" w:rsidRDefault="008319A2" w:rsidP="00845C64">
      <w:pPr>
        <w:spacing w:before="41" w:line="154" w:lineRule="exact"/>
        <w:ind w:right="231"/>
        <w:jc w:val="both"/>
        <w:rPr>
          <w:rFonts w:ascii="Arial"/>
        </w:rPr>
      </w:pPr>
    </w:p>
    <w:p w:rsidR="00AE3E37" w:rsidRDefault="00AE3E37" w:rsidP="00845C64">
      <w:pPr>
        <w:spacing w:before="41" w:line="154" w:lineRule="exact"/>
        <w:ind w:right="231"/>
        <w:jc w:val="both"/>
        <w:rPr>
          <w:rFonts w:ascii="Arial"/>
        </w:rPr>
      </w:pPr>
    </w:p>
    <w:p w:rsidR="008319A2" w:rsidRDefault="008319A2" w:rsidP="008319A2">
      <w:pPr>
        <w:spacing w:line="360" w:lineRule="auto"/>
        <w:jc w:val="both"/>
        <w:rPr>
          <w:rFonts w:asciiTheme="majorBidi" w:eastAsia="Times New Roman" w:hAnsiTheme="majorBidi" w:cstheme="majorBidi"/>
        </w:rPr>
      </w:pPr>
    </w:p>
    <w:p w:rsidR="008319A2" w:rsidRPr="00CE1F54" w:rsidRDefault="008319A2" w:rsidP="008319A2">
      <w:pPr>
        <w:spacing w:line="360" w:lineRule="auto"/>
        <w:jc w:val="both"/>
        <w:rPr>
          <w:rFonts w:asciiTheme="majorBidi" w:eastAsia="Times New Roman" w:hAnsiTheme="majorBidi" w:cstheme="majorBidi"/>
        </w:rPr>
      </w:pPr>
    </w:p>
    <w:p w:rsidR="00932900" w:rsidRDefault="00932900" w:rsidP="00932900">
      <w:pPr>
        <w:spacing w:line="360" w:lineRule="auto"/>
        <w:jc w:val="center"/>
        <w:rPr>
          <w:rFonts w:asciiTheme="majorBidi" w:hAnsiTheme="majorBidi" w:cstheme="majorBidi"/>
        </w:rPr>
      </w:pPr>
    </w:p>
    <w:p w:rsidR="00932900" w:rsidRDefault="00932900" w:rsidP="00932900">
      <w:pPr>
        <w:spacing w:line="360" w:lineRule="auto"/>
        <w:jc w:val="center"/>
        <w:rPr>
          <w:rFonts w:asciiTheme="majorBidi" w:hAnsiTheme="majorBidi" w:cstheme="majorBidi"/>
        </w:rPr>
      </w:pPr>
    </w:p>
    <w:p w:rsidR="00932900" w:rsidRDefault="00932900" w:rsidP="00932900">
      <w:pPr>
        <w:spacing w:before="62"/>
        <w:ind w:right="4235"/>
        <w:rPr>
          <w:rFonts w:ascii="Arial"/>
          <w:sz w:val="14"/>
        </w:rPr>
      </w:pPr>
    </w:p>
    <w:p w:rsidR="00932900" w:rsidRDefault="00932900" w:rsidP="00932900">
      <w:pPr>
        <w:spacing w:before="62"/>
        <w:ind w:right="4235"/>
        <w:rPr>
          <w:rFonts w:ascii="Arial"/>
          <w:sz w:val="14"/>
        </w:rPr>
      </w:pPr>
    </w:p>
    <w:p w:rsidR="00932900" w:rsidRDefault="00932900" w:rsidP="00932900">
      <w:pPr>
        <w:spacing w:before="62"/>
        <w:ind w:right="4235"/>
        <w:rPr>
          <w:rFonts w:ascii="Arial"/>
          <w:sz w:val="14"/>
        </w:rPr>
      </w:pPr>
    </w:p>
    <w:p w:rsidR="00932900" w:rsidRDefault="00932900" w:rsidP="00932900">
      <w:pPr>
        <w:spacing w:before="62"/>
        <w:ind w:right="4235"/>
        <w:rPr>
          <w:rFonts w:ascii="Arial"/>
          <w:sz w:val="14"/>
        </w:rPr>
      </w:pPr>
    </w:p>
    <w:p w:rsidR="00451522" w:rsidRDefault="00451522" w:rsidP="00451522">
      <w:pPr>
        <w:rPr>
          <w:rFonts w:asciiTheme="majorBidi" w:hAnsiTheme="majorBidi" w:cstheme="majorBidi"/>
          <w:b/>
          <w:bCs/>
          <w:noProof/>
        </w:rPr>
      </w:pPr>
      <w:r w:rsidRPr="00451522">
        <w:rPr>
          <w:rFonts w:asciiTheme="majorBidi" w:hAnsiTheme="majorBidi" w:cstheme="majorBidi"/>
          <w:b/>
          <w:bCs/>
          <w:noProof/>
        </w:rPr>
        <w:t xml:space="preserve"> </w:t>
      </w: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451522" w:rsidRDefault="00451522" w:rsidP="00451522">
      <w:pPr>
        <w:rPr>
          <w:rFonts w:asciiTheme="majorBidi" w:hAnsiTheme="majorBidi" w:cstheme="majorBidi"/>
          <w:b/>
          <w:bCs/>
          <w:noProof/>
        </w:rPr>
      </w:pPr>
    </w:p>
    <w:p w:rsidR="00932900" w:rsidRDefault="00932900" w:rsidP="00451522">
      <w:pPr>
        <w:rPr>
          <w:rFonts w:ascii="Minion Pro"/>
          <w:sz w:val="26"/>
        </w:rPr>
      </w:pPr>
    </w:p>
    <w:sectPr w:rsidR="00932900" w:rsidSect="00451522">
      <w:type w:val="continuous"/>
      <w:pgSz w:w="11910" w:h="16840"/>
      <w:pgMar w:top="1740" w:right="580" w:bottom="840" w:left="620" w:header="720" w:footer="720" w:gutter="0"/>
      <w:cols w:num="2" w:space="720" w:equalWidth="0">
        <w:col w:w="6891" w:space="2128"/>
        <w:col w:w="169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524" w:rsidRDefault="006B6524">
      <w:r>
        <w:separator/>
      </w:r>
    </w:p>
  </w:endnote>
  <w:endnote w:type="continuationSeparator" w:id="1">
    <w:p w:rsidR="006B6524" w:rsidRDefault="006B65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ulliverRM">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5A" w:rsidRDefault="004E7D3B">
    <w:pPr>
      <w:pStyle w:val="Corpsdetexte"/>
      <w:spacing w:line="14" w:lineRule="auto"/>
      <w:rPr>
        <w:sz w:val="20"/>
      </w:rPr>
    </w:pPr>
    <w:r w:rsidRPr="004E7D3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BF4E5A" w:rsidRPr="005B3A56" w:rsidRDefault="00BF4E5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F4E5A" w:rsidRPr="005B3A56" w:rsidRDefault="00BF4E5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E7D3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BF4E5A" w:rsidRPr="005B3A56" w:rsidRDefault="00BF4E5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F4E5A" w:rsidRPr="005B3A56" w:rsidRDefault="00BF4E5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E7D3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BF4E5A" w:rsidRPr="005B3A56" w:rsidRDefault="00BF4E5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BF4E5A" w:rsidRPr="005B3A56" w:rsidRDefault="00BF4E5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524" w:rsidRDefault="006B6524">
      <w:r>
        <w:separator/>
      </w:r>
    </w:p>
  </w:footnote>
  <w:footnote w:type="continuationSeparator" w:id="1">
    <w:p w:rsidR="006B6524" w:rsidRDefault="006B65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5A" w:rsidRDefault="004E7D3B">
    <w:pPr>
      <w:pStyle w:val="Corpsdetexte"/>
      <w:spacing w:line="14" w:lineRule="auto"/>
      <w:rPr>
        <w:sz w:val="20"/>
      </w:rPr>
    </w:pPr>
    <w:r w:rsidRPr="004E7D3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BF4E5A" w:rsidRPr="00845C64" w:rsidRDefault="00BF4E5A">
                <w:pPr>
                  <w:spacing w:before="2" w:line="249" w:lineRule="auto"/>
                  <w:ind w:left="156" w:right="18" w:hanging="137"/>
                  <w:rPr>
                    <w:rFonts w:ascii="Arial"/>
                    <w:color w:val="FFFFFF" w:themeColor="background1"/>
                    <w:sz w:val="14"/>
                    <w:lang w:val="fr-FR"/>
                  </w:rPr>
                </w:pPr>
                <w:r w:rsidRPr="00845C64">
                  <w:rPr>
                    <w:rFonts w:ascii="Arial"/>
                    <w:color w:val="FFFFFF" w:themeColor="background1"/>
                    <w:sz w:val="14"/>
                    <w:lang w:val="fr-FR"/>
                  </w:rPr>
                  <w:t xml:space="preserve">T Furuta et al., J Pai n Relief 2016, 5:3(Suppl) </w:t>
                </w:r>
                <w:hyperlink r:id="rId1">
                  <w:r w:rsidRPr="00845C64">
                    <w:rPr>
                      <w:rFonts w:ascii="Arial"/>
                      <w:color w:val="FFFFFF" w:themeColor="background1"/>
                      <w:sz w:val="14"/>
                      <w:lang w:val="fr-FR"/>
                    </w:rPr>
                    <w:t>http://dx.doi.org/10.4172/2167-0846.C1.006</w:t>
                  </w:r>
                </w:hyperlink>
              </w:p>
            </w:txbxContent>
          </v:textbox>
          <w10:wrap anchorx="page" anchory="page"/>
        </v:shape>
      </w:pict>
    </w:r>
    <w:r w:rsidRPr="004E7D3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BF4E5A" w:rsidRPr="005B3A56" w:rsidRDefault="00BF4E5A">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F4E5A" w:rsidRPr="005B3A56" w:rsidRDefault="00BF4E5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hyphenationZone w:val="425"/>
  <w:drawingGridHorizontalSpacing w:val="110"/>
  <w:displayHorizontalDrawingGridEvery w:val="2"/>
  <w:characterSpacingControl w:val="doNotCompress"/>
  <w:hdrShapeDefaults>
    <o:shapedefaults v:ext="edit" spidmax="7170">
      <o:colormenu v:ext="edit"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A0BF5"/>
    <w:rsid w:val="000A278A"/>
    <w:rsid w:val="000E2911"/>
    <w:rsid w:val="000F06F5"/>
    <w:rsid w:val="001263DF"/>
    <w:rsid w:val="002638BC"/>
    <w:rsid w:val="00263AFD"/>
    <w:rsid w:val="00284D56"/>
    <w:rsid w:val="00292ED9"/>
    <w:rsid w:val="00396E61"/>
    <w:rsid w:val="00404E5B"/>
    <w:rsid w:val="00414594"/>
    <w:rsid w:val="00414F7B"/>
    <w:rsid w:val="004355DC"/>
    <w:rsid w:val="00451522"/>
    <w:rsid w:val="004749B4"/>
    <w:rsid w:val="00491ADB"/>
    <w:rsid w:val="00494130"/>
    <w:rsid w:val="004E7D3B"/>
    <w:rsid w:val="004F3523"/>
    <w:rsid w:val="00560FBB"/>
    <w:rsid w:val="00587A2A"/>
    <w:rsid w:val="005973B9"/>
    <w:rsid w:val="005B3A56"/>
    <w:rsid w:val="006060CE"/>
    <w:rsid w:val="0062351B"/>
    <w:rsid w:val="00625875"/>
    <w:rsid w:val="0063497F"/>
    <w:rsid w:val="006B6524"/>
    <w:rsid w:val="006C61B8"/>
    <w:rsid w:val="008319A2"/>
    <w:rsid w:val="00845C64"/>
    <w:rsid w:val="00873DF0"/>
    <w:rsid w:val="008756E6"/>
    <w:rsid w:val="00932900"/>
    <w:rsid w:val="00995F5F"/>
    <w:rsid w:val="009B2D44"/>
    <w:rsid w:val="009F3F91"/>
    <w:rsid w:val="00A07E82"/>
    <w:rsid w:val="00A9710C"/>
    <w:rsid w:val="00AE3E37"/>
    <w:rsid w:val="00B17FDF"/>
    <w:rsid w:val="00B21A57"/>
    <w:rsid w:val="00BF4E5A"/>
    <w:rsid w:val="00C33602"/>
    <w:rsid w:val="00CD6F55"/>
    <w:rsid w:val="00CE1F54"/>
    <w:rsid w:val="00D67080"/>
    <w:rsid w:val="00DD25D1"/>
    <w:rsid w:val="00DE3104"/>
    <w:rsid w:val="00DF419E"/>
    <w:rsid w:val="00F62795"/>
    <w:rsid w:val="00F72EEA"/>
    <w:rsid w:val="00F84CAE"/>
    <w:rsid w:val="00FC645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ienhypertextesuivivisit">
    <w:name w:val="FollowedHyperlink"/>
    <w:basedOn w:val="Policepardfaut"/>
    <w:uiPriority w:val="99"/>
    <w:semiHidden/>
    <w:unhideWhenUsed/>
    <w:rsid w:val="00932900"/>
    <w:rPr>
      <w:color w:val="800080" w:themeColor="followedHyperlink"/>
      <w:u w:val="single"/>
    </w:rPr>
  </w:style>
  <w:style w:type="character" w:customStyle="1" w:styleId="fontstyle01">
    <w:name w:val="fontstyle01"/>
    <w:basedOn w:val="Policepardfaut"/>
    <w:rsid w:val="00451522"/>
    <w:rPr>
      <w:rFonts w:ascii="GulliverRM" w:hAnsi="GulliverRM"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3B615-9582-4A8D-956F-79647CC71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630</Words>
  <Characters>3467</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7</cp:revision>
  <dcterms:created xsi:type="dcterms:W3CDTF">2017-10-30T21:08:00Z</dcterms:created>
  <dcterms:modified xsi:type="dcterms:W3CDTF">2017-11-20T16:24:00Z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f604fac2-29d8-3e99-a061-065f0d4bb513</vt:lpwstr>
  </property>
  <property fmtid="{D5CDD505-2E9C-101B-9397-08002B2CF9AE}" pid="7" name="Mendeley Citation Style_1">
    <vt:lpwstr>http://www.zotero.org/styles/harvard-cite-them-right</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16th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http://www.zotero.org/styles/harvard1</vt:lpwstr>
  </property>
  <property fmtid="{D5CDD505-2E9C-101B-9397-08002B2CF9AE}" pid="21" name="Mendeley Recent Style Name 6_1">
    <vt:lpwstr>Harvard reference format 1 (deprecated)</vt:lpwstr>
  </property>
  <property fmtid="{D5CDD505-2E9C-101B-9397-08002B2CF9AE}" pid="22" name="Mendeley Recent Style Id 7_1">
    <vt:lpwstr>http://www.zotero.org/styles/ieee</vt:lpwstr>
  </property>
  <property fmtid="{D5CDD505-2E9C-101B-9397-08002B2CF9AE}" pid="23" name="Mendeley Recent Style Name 7_1">
    <vt:lpwstr>IEEE</vt:lpwstr>
  </property>
  <property fmtid="{D5CDD505-2E9C-101B-9397-08002B2CF9AE}" pid="24" name="Mendeley Recent Style Id 8_1">
    <vt:lpwstr>http://www.zotero.org/styles/modern-humanities-research-association</vt:lpwstr>
  </property>
  <property fmtid="{D5CDD505-2E9C-101B-9397-08002B2CF9AE}" pid="25" name="Mendeley Recent Style Name 8_1">
    <vt:lpwstr>Modern Humanities Research Association 3rd edition (note with bibliography)</vt:lpwstr>
  </property>
  <property fmtid="{D5CDD505-2E9C-101B-9397-08002B2CF9AE}" pid="26" name="Mendeley Recent Style Id 9_1">
    <vt:lpwstr>http://www.zotero.org/styles/modern-language-association</vt:lpwstr>
  </property>
  <property fmtid="{D5CDD505-2E9C-101B-9397-08002B2CF9AE}" pid="27" name="Mendeley Recent Style Name 9_1">
    <vt:lpwstr>Modern Language Association 7th edition</vt:lpwstr>
  </property>
</Properties>
</file>