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85" w:rsidRPr="00E0474A" w:rsidRDefault="008A0385" w:rsidP="008A0385">
      <w:pPr>
        <w:spacing w:after="0" w:line="240" w:lineRule="auto"/>
        <w:jc w:val="center"/>
        <w:rPr>
          <w:rFonts w:ascii="Minion Pro" w:hAnsi="Minion Pro" w:cs="Times New Roman"/>
          <w:b/>
          <w:color w:val="548DD4" w:themeColor="text2" w:themeTint="99"/>
          <w:sz w:val="36"/>
          <w:szCs w:val="36"/>
        </w:rPr>
      </w:pPr>
      <w:r w:rsidRPr="00E0474A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 xml:space="preserve">Consequences of Divergent Vase Solutions on Post-Harvest Durability and Quality of </w:t>
      </w:r>
      <w:proofErr w:type="spellStart"/>
      <w:r w:rsidRPr="00E0474A">
        <w:rPr>
          <w:rFonts w:ascii="Minion Pro" w:hAnsi="Minion Pro" w:cs="Times New Roman"/>
          <w:b/>
          <w:i/>
          <w:color w:val="548DD4" w:themeColor="text2" w:themeTint="99"/>
          <w:sz w:val="36"/>
          <w:szCs w:val="36"/>
        </w:rPr>
        <w:t>Heliconia</w:t>
      </w:r>
      <w:proofErr w:type="spellEnd"/>
      <w:r w:rsidRPr="00E0474A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 xml:space="preserve"> Inflorescences</w:t>
      </w:r>
    </w:p>
    <w:p w:rsidR="008A0385" w:rsidRPr="00E0474A" w:rsidRDefault="008A0385" w:rsidP="008A0385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spellStart"/>
      <w:r w:rsidRPr="00E0474A">
        <w:rPr>
          <w:rFonts w:ascii="Arial" w:hAnsi="Arial" w:cs="Arial"/>
          <w:sz w:val="18"/>
          <w:szCs w:val="18"/>
        </w:rPr>
        <w:t>Moumita</w:t>
      </w:r>
      <w:proofErr w:type="spellEnd"/>
      <w:r w:rsidRPr="00E0474A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E0474A">
        <w:rPr>
          <w:rFonts w:ascii="Arial" w:hAnsi="Arial" w:cs="Arial"/>
          <w:sz w:val="18"/>
          <w:szCs w:val="18"/>
        </w:rPr>
        <w:t>Malakar</w:t>
      </w:r>
      <w:r w:rsidRPr="00E0474A">
        <w:rPr>
          <w:rFonts w:ascii="Arial" w:hAnsi="Arial" w:cs="Arial"/>
          <w:sz w:val="18"/>
          <w:szCs w:val="18"/>
          <w:vertAlign w:val="superscript"/>
        </w:rPr>
        <w:t>1</w:t>
      </w:r>
      <w:r w:rsidRPr="00E0474A">
        <w:rPr>
          <w:rFonts w:ascii="Arial" w:hAnsi="Arial" w:cs="Arial"/>
          <w:sz w:val="18"/>
          <w:szCs w:val="18"/>
        </w:rPr>
        <w:t>.,</w:t>
      </w:r>
      <w:proofErr w:type="gramEnd"/>
      <w:r w:rsidRPr="00E0474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E0474A">
        <w:rPr>
          <w:rFonts w:ascii="Arial" w:hAnsi="Arial" w:cs="Arial"/>
          <w:sz w:val="18"/>
          <w:szCs w:val="18"/>
        </w:rPr>
        <w:t>Pinaki</w:t>
      </w:r>
      <w:proofErr w:type="spellEnd"/>
      <w:r w:rsidRPr="00E0474A">
        <w:rPr>
          <w:rFonts w:ascii="Arial" w:hAnsi="Arial" w:cs="Arial"/>
          <w:sz w:val="18"/>
          <w:szCs w:val="18"/>
        </w:rPr>
        <w:t xml:space="preserve"> Acharyya</w:t>
      </w:r>
      <w:r w:rsidRPr="00E0474A">
        <w:rPr>
          <w:rFonts w:ascii="Arial" w:hAnsi="Arial" w:cs="Arial"/>
          <w:sz w:val="18"/>
          <w:szCs w:val="18"/>
          <w:vertAlign w:val="superscript"/>
        </w:rPr>
        <w:t>2</w:t>
      </w:r>
      <w:r w:rsidRPr="00E0474A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Pr="00E0474A">
        <w:rPr>
          <w:rFonts w:ascii="Arial" w:hAnsi="Arial" w:cs="Arial"/>
          <w:sz w:val="18"/>
          <w:szCs w:val="18"/>
        </w:rPr>
        <w:t>Sukanta</w:t>
      </w:r>
      <w:proofErr w:type="spellEnd"/>
      <w:r w:rsidRPr="00E0474A">
        <w:rPr>
          <w:rFonts w:ascii="Arial" w:hAnsi="Arial" w:cs="Arial"/>
          <w:sz w:val="18"/>
          <w:szCs w:val="18"/>
        </w:rPr>
        <w:t xml:space="preserve"> Biswas</w:t>
      </w:r>
      <w:r w:rsidRPr="00E0474A">
        <w:rPr>
          <w:rFonts w:ascii="Arial" w:hAnsi="Arial" w:cs="Arial"/>
          <w:sz w:val="18"/>
          <w:szCs w:val="18"/>
          <w:vertAlign w:val="superscript"/>
        </w:rPr>
        <w:t>3</w:t>
      </w:r>
      <w:r w:rsidRPr="00E0474A">
        <w:rPr>
          <w:rFonts w:ascii="Arial" w:hAnsi="Arial" w:cs="Arial"/>
          <w:sz w:val="18"/>
          <w:szCs w:val="18"/>
        </w:rPr>
        <w:t>.</w:t>
      </w:r>
    </w:p>
    <w:p w:rsidR="008A0385" w:rsidRPr="00E0474A" w:rsidRDefault="008A0385" w:rsidP="008A0385">
      <w:pPr>
        <w:spacing w:after="0" w:line="240" w:lineRule="auto"/>
        <w:jc w:val="center"/>
        <w:rPr>
          <w:rFonts w:ascii="Arial" w:hAnsi="Arial" w:cs="Arial"/>
          <w:sz w:val="18"/>
          <w:szCs w:val="18"/>
          <w:vertAlign w:val="superscript"/>
        </w:rPr>
      </w:pPr>
      <w:r w:rsidRPr="00E0474A">
        <w:rPr>
          <w:rFonts w:ascii="Arial" w:hAnsi="Arial" w:cs="Arial"/>
          <w:sz w:val="18"/>
          <w:szCs w:val="18"/>
        </w:rPr>
        <w:t>moumitamalakar7@gmail.com</w:t>
      </w:r>
      <w:r w:rsidRPr="00E0474A">
        <w:rPr>
          <w:rFonts w:ascii="Arial" w:hAnsi="Arial" w:cs="Arial"/>
          <w:sz w:val="18"/>
          <w:szCs w:val="18"/>
          <w:vertAlign w:val="superscript"/>
        </w:rPr>
        <w:t>1</w:t>
      </w:r>
      <w:r w:rsidRPr="00E0474A">
        <w:rPr>
          <w:rFonts w:ascii="Arial" w:hAnsi="Arial" w:cs="Arial"/>
          <w:sz w:val="18"/>
          <w:szCs w:val="18"/>
        </w:rPr>
        <w:t>, pinakihort2003@gmail.com</w:t>
      </w:r>
      <w:r w:rsidRPr="00E0474A">
        <w:rPr>
          <w:rFonts w:ascii="Arial" w:hAnsi="Arial" w:cs="Arial"/>
          <w:sz w:val="18"/>
          <w:szCs w:val="18"/>
          <w:vertAlign w:val="superscript"/>
        </w:rPr>
        <w:t>2</w:t>
      </w:r>
      <w:r w:rsidRPr="00E0474A">
        <w:rPr>
          <w:rFonts w:ascii="Arial" w:hAnsi="Arial" w:cs="Arial"/>
          <w:sz w:val="18"/>
          <w:szCs w:val="18"/>
        </w:rPr>
        <w:t>, sukanta.alipore@gmail.com</w:t>
      </w:r>
      <w:r w:rsidRPr="00E0474A">
        <w:rPr>
          <w:rFonts w:ascii="Arial" w:hAnsi="Arial" w:cs="Arial"/>
          <w:sz w:val="18"/>
          <w:szCs w:val="18"/>
          <w:vertAlign w:val="superscript"/>
        </w:rPr>
        <w:t>3</w:t>
      </w:r>
    </w:p>
    <w:p w:rsidR="008A0385" w:rsidRPr="00E0474A" w:rsidRDefault="008A0385" w:rsidP="008A0385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0474A">
        <w:rPr>
          <w:rFonts w:ascii="Arial" w:hAnsi="Arial" w:cs="Arial"/>
          <w:sz w:val="18"/>
          <w:szCs w:val="18"/>
        </w:rPr>
        <w:t>Department of Horticulture, University of Calcutta,</w:t>
      </w:r>
    </w:p>
    <w:p w:rsidR="008A0385" w:rsidRPr="00E0474A" w:rsidRDefault="008A0385" w:rsidP="008A0385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 w:rsidRPr="00E0474A">
        <w:rPr>
          <w:rFonts w:ascii="Arial" w:hAnsi="Arial" w:cs="Arial"/>
          <w:sz w:val="18"/>
          <w:szCs w:val="18"/>
        </w:rPr>
        <w:t xml:space="preserve">51/2, </w:t>
      </w:r>
      <w:proofErr w:type="spellStart"/>
      <w:r w:rsidRPr="00E0474A">
        <w:rPr>
          <w:rFonts w:ascii="Arial" w:hAnsi="Arial" w:cs="Arial"/>
          <w:sz w:val="18"/>
          <w:szCs w:val="18"/>
        </w:rPr>
        <w:t>Hazra</w:t>
      </w:r>
      <w:proofErr w:type="spellEnd"/>
      <w:r w:rsidRPr="00E0474A">
        <w:rPr>
          <w:rFonts w:ascii="Arial" w:hAnsi="Arial" w:cs="Arial"/>
          <w:sz w:val="18"/>
          <w:szCs w:val="18"/>
        </w:rPr>
        <w:t xml:space="preserve"> Road, Kolkata- 700019.</w:t>
      </w:r>
      <w:proofErr w:type="gramEnd"/>
    </w:p>
    <w:p w:rsidR="008A0385" w:rsidRPr="00E0474A" w:rsidRDefault="008A0385" w:rsidP="008A0385">
      <w:pPr>
        <w:spacing w:after="0" w:line="240" w:lineRule="auto"/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E0474A">
        <w:rPr>
          <w:rFonts w:ascii="Arial" w:hAnsi="Arial" w:cs="Arial"/>
          <w:b/>
          <w:color w:val="E36C0A" w:themeColor="accent6" w:themeShade="BF"/>
          <w:sz w:val="20"/>
          <w:szCs w:val="20"/>
        </w:rPr>
        <w:t>Abstract</w:t>
      </w:r>
      <w:r w:rsidR="00683CFB" w:rsidRPr="00E0474A">
        <w:rPr>
          <w:rFonts w:ascii="Arial" w:hAnsi="Arial" w:cs="Arial"/>
          <w:b/>
          <w:color w:val="E36C0A" w:themeColor="accent6" w:themeShade="BF"/>
          <w:sz w:val="20"/>
          <w:szCs w:val="20"/>
        </w:rPr>
        <w:t>:</w:t>
      </w:r>
    </w:p>
    <w:p w:rsidR="008A0385" w:rsidRPr="00B77CE7" w:rsidRDefault="008A0385" w:rsidP="008A0385">
      <w:pPr>
        <w:spacing w:after="0" w:line="240" w:lineRule="auto"/>
        <w:jc w:val="both"/>
        <w:rPr>
          <w:rFonts w:ascii="Tw Cen MT" w:hAnsi="Tw Cen MT" w:cs="Times New Roman"/>
          <w:sz w:val="18"/>
          <w:szCs w:val="18"/>
        </w:rPr>
      </w:pPr>
      <w:proofErr w:type="spellStart"/>
      <w:proofErr w:type="gramStart"/>
      <w:r w:rsidRPr="00B77CE7">
        <w:rPr>
          <w:rFonts w:ascii="Tw Cen MT" w:hAnsi="Tw Cen MT" w:cs="Times New Roman"/>
          <w:i/>
          <w:sz w:val="18"/>
          <w:szCs w:val="18"/>
        </w:rPr>
        <w:t>Heliconia</w:t>
      </w:r>
      <w:proofErr w:type="spellEnd"/>
      <w:r w:rsidRPr="00B77CE7">
        <w:rPr>
          <w:rFonts w:ascii="Tw Cen MT" w:hAnsi="Tw Cen MT" w:cs="Times New Roman"/>
          <w:sz w:val="18"/>
          <w:szCs w:val="18"/>
        </w:rPr>
        <w:t xml:space="preserve"> the most flourishing cut flower in the tropics owing to its charismatic form and alluringly blended hues of its bracts.</w:t>
      </w:r>
      <w:proofErr w:type="gramEnd"/>
      <w:r w:rsidRPr="00B77CE7">
        <w:rPr>
          <w:rFonts w:ascii="Tw Cen MT" w:hAnsi="Tw Cen MT" w:cs="Times New Roman"/>
          <w:sz w:val="18"/>
          <w:szCs w:val="18"/>
        </w:rPr>
        <w:t xml:space="preserve"> To label post harvest complications and also to protract vase life for a substantial span present experiment was designed employing antithetical vase solutions of various concentrations and fresh, mature, cut spikes of nine different </w:t>
      </w:r>
      <w:proofErr w:type="spellStart"/>
      <w:r w:rsidRPr="00B77CE7">
        <w:rPr>
          <w:rFonts w:ascii="Tw Cen MT" w:hAnsi="Tw Cen MT" w:cs="Times New Roman"/>
          <w:i/>
          <w:sz w:val="18"/>
          <w:szCs w:val="18"/>
        </w:rPr>
        <w:t>Heliconia</w:t>
      </w:r>
      <w:proofErr w:type="spellEnd"/>
      <w:r w:rsidRPr="00B77CE7">
        <w:rPr>
          <w:rFonts w:ascii="Tw Cen MT" w:hAnsi="Tw Cen MT" w:cs="Times New Roman"/>
          <w:sz w:val="18"/>
          <w:szCs w:val="18"/>
        </w:rPr>
        <w:t xml:space="preserve"> species and varieties.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5</w:t>
      </w:r>
      <w:r w:rsidRPr="00B77CE7">
        <w:rPr>
          <w:rFonts w:ascii="Tw Cen MT" w:hAnsi="Tw Cen MT" w:cs="Times New Roman"/>
          <w:sz w:val="18"/>
          <w:szCs w:val="18"/>
        </w:rPr>
        <w:t xml:space="preserve"> and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6</w:t>
      </w:r>
      <w:r w:rsidRPr="00B77CE7">
        <w:rPr>
          <w:rFonts w:ascii="Tw Cen MT" w:hAnsi="Tw Cen MT" w:cs="Times New Roman"/>
          <w:sz w:val="18"/>
          <w:szCs w:val="18"/>
        </w:rPr>
        <w:t xml:space="preserve"> treatment combinations contain AgNO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3</w:t>
      </w:r>
      <w:r w:rsidRPr="00B77CE7">
        <w:rPr>
          <w:rFonts w:ascii="Tw Cen MT" w:hAnsi="Tw Cen MT" w:cs="Times New Roman"/>
          <w:sz w:val="18"/>
          <w:szCs w:val="18"/>
        </w:rPr>
        <w:t xml:space="preserve"> @1500ppm  and Cacl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2</w:t>
      </w:r>
      <w:r w:rsidRPr="00B77CE7">
        <w:rPr>
          <w:rFonts w:ascii="Tw Cen MT" w:hAnsi="Tw Cen MT" w:cs="Times New Roman"/>
          <w:sz w:val="18"/>
          <w:szCs w:val="18"/>
        </w:rPr>
        <w:t xml:space="preserve"> @ 750mg/l along with 8- HQC @500mg/l and Sucrose 2% outstandingly elevated solution uptake and flower opening inside bracts principally in all species and varieties respectively. Untreated spikes of </w:t>
      </w:r>
      <w:r w:rsidR="00B77CE7">
        <w:rPr>
          <w:rFonts w:ascii="Tw Cen MT" w:hAnsi="Tw Cen MT" w:cs="Times New Roman"/>
          <w:i/>
          <w:sz w:val="18"/>
          <w:szCs w:val="18"/>
        </w:rPr>
        <w:t>H.</w:t>
      </w:r>
      <w:r w:rsidRPr="00B77CE7">
        <w:rPr>
          <w:rFonts w:ascii="Tw Cen MT" w:hAnsi="Tw Cen MT" w:cs="Times New Roman"/>
          <w:i/>
          <w:sz w:val="18"/>
          <w:szCs w:val="18"/>
        </w:rPr>
        <w:t xml:space="preserve"> </w:t>
      </w:r>
      <w:proofErr w:type="spellStart"/>
      <w:r w:rsidRPr="00B77CE7">
        <w:rPr>
          <w:rFonts w:ascii="Tw Cen MT" w:hAnsi="Tw Cen MT" w:cs="Times New Roman"/>
          <w:i/>
          <w:sz w:val="18"/>
          <w:szCs w:val="18"/>
        </w:rPr>
        <w:t>psittacorum</w:t>
      </w:r>
      <w:proofErr w:type="spellEnd"/>
      <w:r w:rsidRPr="00B77CE7">
        <w:rPr>
          <w:rFonts w:ascii="Tw Cen MT" w:hAnsi="Tw Cen MT" w:cs="Times New Roman"/>
          <w:i/>
          <w:sz w:val="18"/>
          <w:szCs w:val="18"/>
        </w:rPr>
        <w:t xml:space="preserve"> </w:t>
      </w:r>
      <w:r w:rsidRPr="00B77CE7">
        <w:rPr>
          <w:rFonts w:ascii="Tw Cen MT" w:hAnsi="Tw Cen MT" w:cs="Times New Roman"/>
          <w:sz w:val="18"/>
          <w:szCs w:val="18"/>
        </w:rPr>
        <w:t xml:space="preserve">var. ‘Lady </w:t>
      </w:r>
      <w:proofErr w:type="spellStart"/>
      <w:proofErr w:type="gramStart"/>
      <w:r w:rsidRPr="00B77CE7">
        <w:rPr>
          <w:rFonts w:ascii="Tw Cen MT" w:hAnsi="Tw Cen MT" w:cs="Times New Roman"/>
          <w:sz w:val="18"/>
          <w:szCs w:val="18"/>
        </w:rPr>
        <w:t>di</w:t>
      </w:r>
      <w:proofErr w:type="spellEnd"/>
      <w:proofErr w:type="gramEnd"/>
      <w:r w:rsidRPr="00B77CE7">
        <w:rPr>
          <w:rFonts w:ascii="Tw Cen MT" w:hAnsi="Tw Cen MT" w:cs="Times New Roman"/>
          <w:sz w:val="18"/>
          <w:szCs w:val="18"/>
        </w:rPr>
        <w:t xml:space="preserve">’, </w:t>
      </w:r>
      <w:r w:rsidR="00B77CE7">
        <w:rPr>
          <w:rFonts w:ascii="Tw Cen MT" w:hAnsi="Tw Cen MT" w:cs="Times New Roman"/>
          <w:i/>
          <w:sz w:val="18"/>
          <w:szCs w:val="18"/>
        </w:rPr>
        <w:t>H.</w:t>
      </w:r>
      <w:r w:rsidRPr="00B77CE7">
        <w:rPr>
          <w:rFonts w:ascii="Tw Cen MT" w:hAnsi="Tw Cen MT" w:cs="Times New Roman"/>
          <w:i/>
          <w:sz w:val="18"/>
          <w:szCs w:val="18"/>
        </w:rPr>
        <w:t xml:space="preserve"> </w:t>
      </w:r>
      <w:proofErr w:type="spellStart"/>
      <w:r w:rsidRPr="00B77CE7">
        <w:rPr>
          <w:rFonts w:ascii="Tw Cen MT" w:hAnsi="Tw Cen MT" w:cs="Times New Roman"/>
          <w:i/>
          <w:sz w:val="18"/>
          <w:szCs w:val="18"/>
        </w:rPr>
        <w:t>wagneriana</w:t>
      </w:r>
      <w:proofErr w:type="spellEnd"/>
      <w:r w:rsidRPr="00B77CE7">
        <w:rPr>
          <w:rFonts w:ascii="Tw Cen MT" w:hAnsi="Tw Cen MT" w:cs="Times New Roman"/>
          <w:sz w:val="18"/>
          <w:szCs w:val="18"/>
        </w:rPr>
        <w:t xml:space="preserve">, </w:t>
      </w:r>
      <w:r w:rsidR="00B77CE7">
        <w:rPr>
          <w:rFonts w:ascii="Tw Cen MT" w:hAnsi="Tw Cen MT" w:cs="Times New Roman"/>
          <w:i/>
          <w:sz w:val="18"/>
          <w:szCs w:val="18"/>
        </w:rPr>
        <w:t xml:space="preserve">H. </w:t>
      </w:r>
      <w:proofErr w:type="spellStart"/>
      <w:r w:rsidR="00B77CE7">
        <w:rPr>
          <w:rFonts w:ascii="Tw Cen MT" w:hAnsi="Tw Cen MT" w:cs="Times New Roman"/>
          <w:i/>
          <w:sz w:val="18"/>
          <w:szCs w:val="18"/>
        </w:rPr>
        <w:t>stricta</w:t>
      </w:r>
      <w:proofErr w:type="spellEnd"/>
      <w:r w:rsidR="00B77CE7">
        <w:rPr>
          <w:rFonts w:ascii="Tw Cen MT" w:hAnsi="Tw Cen MT" w:cs="Times New Roman"/>
          <w:i/>
          <w:sz w:val="18"/>
          <w:szCs w:val="18"/>
        </w:rPr>
        <w:t xml:space="preserve">, H. </w:t>
      </w:r>
      <w:proofErr w:type="spellStart"/>
      <w:r w:rsidRPr="00B77CE7">
        <w:rPr>
          <w:rFonts w:ascii="Tw Cen MT" w:hAnsi="Tw Cen MT" w:cs="Times New Roman"/>
          <w:i/>
          <w:sz w:val="18"/>
          <w:szCs w:val="18"/>
        </w:rPr>
        <w:t>s</w:t>
      </w:r>
      <w:r w:rsidR="00B77CE7">
        <w:rPr>
          <w:rFonts w:ascii="Tw Cen MT" w:hAnsi="Tw Cen MT" w:cs="Times New Roman"/>
          <w:i/>
          <w:sz w:val="18"/>
          <w:szCs w:val="18"/>
        </w:rPr>
        <w:t>tricta</w:t>
      </w:r>
      <w:proofErr w:type="spellEnd"/>
      <w:r w:rsidRPr="00B77CE7">
        <w:rPr>
          <w:rFonts w:ascii="Tw Cen MT" w:hAnsi="Tw Cen MT" w:cs="Times New Roman"/>
          <w:i/>
          <w:sz w:val="18"/>
          <w:szCs w:val="18"/>
        </w:rPr>
        <w:t xml:space="preserve"> </w:t>
      </w:r>
      <w:r w:rsidRPr="00B77CE7">
        <w:rPr>
          <w:rFonts w:ascii="Tw Cen MT" w:hAnsi="Tw Cen MT" w:cs="Times New Roman"/>
          <w:sz w:val="18"/>
          <w:szCs w:val="18"/>
        </w:rPr>
        <w:t>var. ‘Dwarf</w:t>
      </w:r>
      <w:r w:rsidR="00B77CE7">
        <w:rPr>
          <w:rFonts w:ascii="Tw Cen MT" w:hAnsi="Tw Cen MT" w:cs="Times New Roman"/>
          <w:sz w:val="18"/>
          <w:szCs w:val="18"/>
        </w:rPr>
        <w:t xml:space="preserve"> Jamaican Red</w:t>
      </w:r>
      <w:r w:rsidRPr="00B77CE7">
        <w:rPr>
          <w:rFonts w:ascii="Tw Cen MT" w:hAnsi="Tw Cen MT" w:cs="Times New Roman"/>
          <w:sz w:val="18"/>
          <w:szCs w:val="18"/>
        </w:rPr>
        <w:t xml:space="preserve">’ and </w:t>
      </w:r>
      <w:r w:rsidR="00B77CE7">
        <w:rPr>
          <w:rFonts w:ascii="Tw Cen MT" w:hAnsi="Tw Cen MT" w:cs="Times New Roman"/>
          <w:i/>
          <w:sz w:val="18"/>
          <w:szCs w:val="18"/>
        </w:rPr>
        <w:t>H.</w:t>
      </w:r>
      <w:r w:rsidRPr="00B77CE7">
        <w:rPr>
          <w:rFonts w:ascii="Tw Cen MT" w:hAnsi="Tw Cen MT" w:cs="Times New Roman"/>
          <w:i/>
          <w:sz w:val="18"/>
          <w:szCs w:val="18"/>
        </w:rPr>
        <w:t xml:space="preserve"> </w:t>
      </w:r>
      <w:proofErr w:type="spellStart"/>
      <w:r w:rsidRPr="00B77CE7">
        <w:rPr>
          <w:rFonts w:ascii="Tw Cen MT" w:hAnsi="Tw Cen MT" w:cs="Times New Roman"/>
          <w:i/>
          <w:sz w:val="18"/>
          <w:szCs w:val="18"/>
        </w:rPr>
        <w:t>metallica</w:t>
      </w:r>
      <w:proofErr w:type="spellEnd"/>
      <w:r w:rsidRPr="00B77CE7">
        <w:rPr>
          <w:rFonts w:ascii="Tw Cen MT" w:hAnsi="Tw Cen MT" w:cs="Times New Roman"/>
          <w:i/>
          <w:sz w:val="18"/>
          <w:szCs w:val="18"/>
        </w:rPr>
        <w:t xml:space="preserve"> </w:t>
      </w:r>
      <w:r w:rsidRPr="00B77CE7">
        <w:rPr>
          <w:rFonts w:ascii="Tw Cen MT" w:hAnsi="Tw Cen MT" w:cs="Times New Roman"/>
          <w:sz w:val="18"/>
          <w:szCs w:val="18"/>
        </w:rPr>
        <w:t>exhibited noteworthy fresh weight retention on 8</w:t>
      </w:r>
      <w:r w:rsidRPr="00B77CE7">
        <w:rPr>
          <w:rFonts w:ascii="Tw Cen MT" w:hAnsi="Tw Cen MT" w:cs="Times New Roman"/>
          <w:sz w:val="18"/>
          <w:szCs w:val="18"/>
          <w:vertAlign w:val="superscript"/>
        </w:rPr>
        <w:t>th</w:t>
      </w:r>
      <w:r w:rsidRPr="00B77CE7">
        <w:rPr>
          <w:rFonts w:ascii="Tw Cen MT" w:hAnsi="Tw Cen MT" w:cs="Times New Roman"/>
          <w:sz w:val="18"/>
          <w:szCs w:val="18"/>
        </w:rPr>
        <w:t xml:space="preserve"> days exceptionally while in contrast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4</w:t>
      </w:r>
      <w:r w:rsidRPr="00B77CE7">
        <w:rPr>
          <w:rFonts w:ascii="Tw Cen MT" w:hAnsi="Tw Cen MT" w:cs="Times New Roman"/>
          <w:sz w:val="18"/>
          <w:szCs w:val="18"/>
        </w:rPr>
        <w:t>,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5</w:t>
      </w:r>
      <w:r w:rsidRPr="00B77CE7">
        <w:rPr>
          <w:rFonts w:ascii="Tw Cen MT" w:hAnsi="Tw Cen MT" w:cs="Times New Roman"/>
          <w:sz w:val="18"/>
          <w:szCs w:val="18"/>
        </w:rPr>
        <w:t>,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7</w:t>
      </w:r>
      <w:r w:rsidRPr="00B77CE7">
        <w:rPr>
          <w:rFonts w:ascii="Tw Cen MT" w:hAnsi="Tw Cen MT" w:cs="Times New Roman"/>
          <w:sz w:val="18"/>
          <w:szCs w:val="18"/>
        </w:rPr>
        <w:t xml:space="preserve"> and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3</w:t>
      </w:r>
      <w:r w:rsidRPr="00B77CE7">
        <w:rPr>
          <w:rFonts w:ascii="Tw Cen MT" w:hAnsi="Tw Cen MT" w:cs="Times New Roman"/>
          <w:sz w:val="18"/>
          <w:szCs w:val="18"/>
        </w:rPr>
        <w:t xml:space="preserve"> evinced themselves unrivalled for rest of the genotypes on same duration. To preserve bract and flower’s carotene, </w:t>
      </w:r>
      <w:proofErr w:type="spellStart"/>
      <w:r w:rsidRPr="00B77CE7">
        <w:rPr>
          <w:rFonts w:ascii="Tw Cen MT" w:hAnsi="Tw Cen MT" w:cs="Times New Roman"/>
          <w:sz w:val="18"/>
          <w:szCs w:val="18"/>
        </w:rPr>
        <w:t>anthocyanin</w:t>
      </w:r>
      <w:proofErr w:type="spellEnd"/>
      <w:r w:rsidRPr="00B77CE7">
        <w:rPr>
          <w:rFonts w:ascii="Tw Cen MT" w:hAnsi="Tw Cen MT" w:cs="Times New Roman"/>
          <w:sz w:val="18"/>
          <w:szCs w:val="18"/>
        </w:rPr>
        <w:t xml:space="preserve"> and chlorophyll pigments all treatment’s impact were truly species specific apparently.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7</w:t>
      </w:r>
      <w:r w:rsidRPr="00B77CE7">
        <w:rPr>
          <w:rFonts w:ascii="Tw Cen MT" w:hAnsi="Tw Cen MT" w:cs="Times New Roman"/>
          <w:sz w:val="18"/>
          <w:szCs w:val="18"/>
        </w:rPr>
        <w:t xml:space="preserve"> and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9</w:t>
      </w:r>
      <w:r w:rsidRPr="00B77CE7">
        <w:rPr>
          <w:rFonts w:ascii="Tw Cen MT" w:hAnsi="Tw Cen MT" w:cs="Times New Roman"/>
          <w:sz w:val="18"/>
          <w:szCs w:val="18"/>
        </w:rPr>
        <w:t xml:space="preserve"> hold GA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3</w:t>
      </w:r>
      <w:r w:rsidRPr="00B77CE7">
        <w:rPr>
          <w:rFonts w:ascii="Tw Cen MT" w:hAnsi="Tw Cen MT" w:cs="Times New Roman"/>
          <w:sz w:val="18"/>
          <w:szCs w:val="18"/>
        </w:rPr>
        <w:t xml:space="preserve"> @ 80ppm and Citric acid @ 200mg/l along with germicide and sucrose respectively besides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5</w:t>
      </w:r>
      <w:r w:rsidRPr="00B77CE7">
        <w:rPr>
          <w:rFonts w:ascii="Tw Cen MT" w:hAnsi="Tw Cen MT" w:cs="Times New Roman"/>
          <w:sz w:val="18"/>
          <w:szCs w:val="18"/>
        </w:rPr>
        <w:t xml:space="preserve"> and T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6</w:t>
      </w:r>
      <w:r w:rsidRPr="00B77CE7">
        <w:rPr>
          <w:rFonts w:ascii="Tw Cen MT" w:hAnsi="Tw Cen MT" w:cs="Times New Roman"/>
          <w:sz w:val="18"/>
          <w:szCs w:val="18"/>
        </w:rPr>
        <w:t xml:space="preserve"> also yield utmost vase life being impeded senescence in all inflorescences. These identical treatments amplified the levels of </w:t>
      </w:r>
      <w:proofErr w:type="spellStart"/>
      <w:r w:rsidRPr="00B77CE7">
        <w:rPr>
          <w:rFonts w:ascii="Tw Cen MT" w:hAnsi="Tw Cen MT" w:cs="Times New Roman"/>
          <w:sz w:val="18"/>
          <w:szCs w:val="18"/>
        </w:rPr>
        <w:t>catalase</w:t>
      </w:r>
      <w:proofErr w:type="spellEnd"/>
      <w:r w:rsidRPr="00B77CE7">
        <w:rPr>
          <w:rFonts w:ascii="Tw Cen MT" w:hAnsi="Tw Cen MT" w:cs="Times New Roman"/>
          <w:sz w:val="18"/>
          <w:szCs w:val="18"/>
        </w:rPr>
        <w:t xml:space="preserve">, </w:t>
      </w:r>
      <w:proofErr w:type="spellStart"/>
      <w:r w:rsidRPr="00B77CE7">
        <w:rPr>
          <w:rFonts w:ascii="Tw Cen MT" w:hAnsi="Tw Cen MT" w:cs="Times New Roman"/>
          <w:sz w:val="18"/>
          <w:szCs w:val="18"/>
        </w:rPr>
        <w:t>peroxidase</w:t>
      </w:r>
      <w:proofErr w:type="spellEnd"/>
      <w:r w:rsidRPr="00B77CE7">
        <w:rPr>
          <w:rFonts w:ascii="Tw Cen MT" w:hAnsi="Tw Cen MT" w:cs="Times New Roman"/>
          <w:sz w:val="18"/>
          <w:szCs w:val="18"/>
        </w:rPr>
        <w:t xml:space="preserve"> enzymatic activities and collaterally declined the lipid </w:t>
      </w:r>
      <w:proofErr w:type="spellStart"/>
      <w:r w:rsidRPr="00B77CE7">
        <w:rPr>
          <w:rFonts w:ascii="Tw Cen MT" w:hAnsi="Tw Cen MT" w:cs="Times New Roman"/>
          <w:sz w:val="18"/>
          <w:szCs w:val="18"/>
        </w:rPr>
        <w:t>peroxidation</w:t>
      </w:r>
      <w:proofErr w:type="spellEnd"/>
      <w:r w:rsidRPr="00B77CE7">
        <w:rPr>
          <w:rFonts w:ascii="Tw Cen MT" w:hAnsi="Tw Cen MT" w:cs="Times New Roman"/>
          <w:sz w:val="18"/>
          <w:szCs w:val="18"/>
        </w:rPr>
        <w:t xml:space="preserve"> on 7</w:t>
      </w:r>
      <w:r w:rsidRPr="00B77CE7">
        <w:rPr>
          <w:rFonts w:ascii="Tw Cen MT" w:hAnsi="Tw Cen MT" w:cs="Times New Roman"/>
          <w:sz w:val="18"/>
          <w:szCs w:val="18"/>
          <w:vertAlign w:val="superscript"/>
        </w:rPr>
        <w:t>th</w:t>
      </w:r>
      <w:r w:rsidRPr="00B77CE7">
        <w:rPr>
          <w:rFonts w:ascii="Tw Cen MT" w:hAnsi="Tw Cen MT" w:cs="Times New Roman"/>
          <w:sz w:val="18"/>
          <w:szCs w:val="18"/>
        </w:rPr>
        <w:t xml:space="preserve"> days in the bract. Therefore, present study concludes that AgNO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3</w:t>
      </w:r>
      <w:r w:rsidRPr="00B77CE7">
        <w:rPr>
          <w:rFonts w:ascii="Tw Cen MT" w:hAnsi="Tw Cen MT" w:cs="Times New Roman"/>
          <w:sz w:val="18"/>
          <w:szCs w:val="18"/>
        </w:rPr>
        <w:t>, Cacl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2</w:t>
      </w:r>
      <w:r w:rsidRPr="00B77CE7">
        <w:rPr>
          <w:rFonts w:ascii="Tw Cen MT" w:hAnsi="Tw Cen MT" w:cs="Times New Roman"/>
          <w:sz w:val="18"/>
          <w:szCs w:val="18"/>
        </w:rPr>
        <w:t>, GA</w:t>
      </w:r>
      <w:r w:rsidRPr="00B77CE7">
        <w:rPr>
          <w:rFonts w:ascii="Tw Cen MT" w:hAnsi="Tw Cen MT" w:cs="Times New Roman"/>
          <w:sz w:val="18"/>
          <w:szCs w:val="18"/>
          <w:vertAlign w:val="subscript"/>
        </w:rPr>
        <w:t>3</w:t>
      </w:r>
      <w:r w:rsidRPr="00B77CE7">
        <w:rPr>
          <w:rFonts w:ascii="Tw Cen MT" w:hAnsi="Tw Cen MT" w:cs="Times New Roman"/>
          <w:sz w:val="18"/>
          <w:szCs w:val="18"/>
        </w:rPr>
        <w:t xml:space="preserve"> and Citric acid at mentioned concentration renders magnificent beneficial effects on vase life attributes being subsisted with oxidative stress of </w:t>
      </w:r>
      <w:proofErr w:type="spellStart"/>
      <w:r w:rsidRPr="00B77CE7">
        <w:rPr>
          <w:rFonts w:ascii="Tw Cen MT" w:hAnsi="Tw Cen MT" w:cs="Times New Roman"/>
          <w:i/>
          <w:sz w:val="18"/>
          <w:szCs w:val="18"/>
        </w:rPr>
        <w:t>Heliconia</w:t>
      </w:r>
      <w:proofErr w:type="spellEnd"/>
      <w:r w:rsidRPr="00B77CE7">
        <w:rPr>
          <w:rFonts w:ascii="Tw Cen MT" w:hAnsi="Tw Cen MT" w:cs="Times New Roman"/>
          <w:sz w:val="18"/>
          <w:szCs w:val="18"/>
        </w:rPr>
        <w:t xml:space="preserve"> inflorescences.</w:t>
      </w:r>
    </w:p>
    <w:p w:rsidR="00B77CE7" w:rsidRDefault="003C37CF" w:rsidP="003C37CF">
      <w:pPr>
        <w:spacing w:after="0" w:line="240" w:lineRule="auto"/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E0474A">
        <w:rPr>
          <w:rFonts w:ascii="Arial" w:hAnsi="Arial" w:cs="Arial"/>
          <w:b/>
          <w:noProof/>
          <w:color w:val="E36C0A" w:themeColor="accent6" w:themeShade="BF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241935</wp:posOffset>
            </wp:positionV>
            <wp:extent cx="6324600" cy="2552700"/>
            <wp:effectExtent l="19050" t="0" r="19050" b="0"/>
            <wp:wrapTight wrapText="bothSides">
              <wp:wrapPolygon edited="0">
                <wp:start x="-65" y="0"/>
                <wp:lineTo x="-65" y="21600"/>
                <wp:lineTo x="21665" y="21600"/>
                <wp:lineTo x="21665" y="0"/>
                <wp:lineTo x="-65" y="0"/>
              </wp:wrapPolygon>
            </wp:wrapTight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="008606EB" w:rsidRPr="00E0474A">
        <w:rPr>
          <w:rFonts w:ascii="Arial" w:hAnsi="Arial" w:cs="Arial"/>
          <w:b/>
          <w:color w:val="E36C0A" w:themeColor="accent6" w:themeShade="BF"/>
          <w:sz w:val="20"/>
          <w:szCs w:val="20"/>
        </w:rPr>
        <w:t>Image:</w:t>
      </w:r>
    </w:p>
    <w:p w:rsidR="0046392E" w:rsidRPr="00B77CE7" w:rsidRDefault="003C37CF" w:rsidP="003C37CF">
      <w:pPr>
        <w:spacing w:after="0" w:line="240" w:lineRule="auto"/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E0474A">
        <w:rPr>
          <w:rFonts w:cstheme="minorHAnsi"/>
          <w:b/>
          <w:sz w:val="18"/>
          <w:szCs w:val="18"/>
        </w:rPr>
        <w:lastRenderedPageBreak/>
        <w:t xml:space="preserve">Figure 1: Graphical representation of vase-life </w:t>
      </w:r>
      <w:r w:rsidR="00AC2EC9" w:rsidRPr="00E0474A">
        <w:rPr>
          <w:rFonts w:cstheme="minorHAnsi"/>
          <w:b/>
          <w:sz w:val="18"/>
          <w:szCs w:val="18"/>
        </w:rPr>
        <w:t xml:space="preserve">(days) </w:t>
      </w:r>
      <w:r w:rsidRPr="00E0474A">
        <w:rPr>
          <w:rFonts w:cstheme="minorHAnsi"/>
          <w:b/>
          <w:sz w:val="18"/>
          <w:szCs w:val="18"/>
        </w:rPr>
        <w:t xml:space="preserve">of nine (9) </w:t>
      </w:r>
      <w:proofErr w:type="spellStart"/>
      <w:r w:rsidRPr="00E0474A">
        <w:rPr>
          <w:rFonts w:cstheme="minorHAnsi"/>
          <w:b/>
          <w:i/>
          <w:sz w:val="18"/>
          <w:szCs w:val="18"/>
        </w:rPr>
        <w:t>Heliconia</w:t>
      </w:r>
      <w:proofErr w:type="spellEnd"/>
      <w:r w:rsidRPr="00E0474A">
        <w:rPr>
          <w:rFonts w:cstheme="minorHAnsi"/>
          <w:b/>
          <w:sz w:val="18"/>
          <w:szCs w:val="18"/>
        </w:rPr>
        <w:t xml:space="preserve"> genotypes.</w:t>
      </w:r>
    </w:p>
    <w:p w:rsidR="00D2455E" w:rsidRPr="0046392E" w:rsidRDefault="00D2455E" w:rsidP="003C37C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Treatment Details:</w:t>
      </w:r>
    </w:p>
    <w:p w:rsidR="003C37CF" w:rsidRPr="00E0474A" w:rsidRDefault="003C37CF" w:rsidP="003C37C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1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Control</w:t>
      </w:r>
      <w:r w:rsidRPr="00E0474A">
        <w:rPr>
          <w:rFonts w:cstheme="minorHAnsi"/>
          <w:b/>
          <w:bCs/>
          <w:sz w:val="18"/>
          <w:szCs w:val="18"/>
        </w:rPr>
        <w:t xml:space="preserve"> </w:t>
      </w:r>
    </w:p>
    <w:p w:rsidR="0046392E" w:rsidRDefault="003C37CF" w:rsidP="003C37CF">
      <w:pPr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2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Standard</w:t>
      </w:r>
      <w:r w:rsidRPr="00E0474A">
        <w:rPr>
          <w:rFonts w:cstheme="minorHAnsi"/>
          <w:b/>
          <w:bCs/>
          <w:sz w:val="18"/>
          <w:szCs w:val="18"/>
        </w:rPr>
        <w:t xml:space="preserve"> </w:t>
      </w:r>
      <w:r w:rsidRPr="00E0474A">
        <w:rPr>
          <w:rFonts w:cstheme="minorHAnsi"/>
          <w:bCs/>
          <w:sz w:val="18"/>
          <w:szCs w:val="18"/>
        </w:rPr>
        <w:t xml:space="preserve">Preservative (2 teaspoonful of fresh lemon juice, 1 teaspoonful of common sugar, ½ teaspoonful of </w:t>
      </w:r>
      <w:r w:rsidR="0046392E">
        <w:rPr>
          <w:rFonts w:cstheme="minorHAnsi"/>
          <w:bCs/>
          <w:sz w:val="18"/>
          <w:szCs w:val="18"/>
        </w:rPr>
        <w:t xml:space="preserve"> </w:t>
      </w:r>
    </w:p>
    <w:p w:rsidR="003C37CF" w:rsidRPr="00E0474A" w:rsidRDefault="0046392E" w:rsidP="003C37CF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t xml:space="preserve">       </w:t>
      </w:r>
      <w:r w:rsidR="003C37CF" w:rsidRPr="00E0474A">
        <w:rPr>
          <w:rFonts w:cstheme="minorHAnsi"/>
          <w:bCs/>
          <w:sz w:val="18"/>
          <w:szCs w:val="18"/>
        </w:rPr>
        <w:t>household bleach in 1 liter of water)</w:t>
      </w:r>
      <w:r w:rsidR="003C37CF" w:rsidRPr="00E0474A">
        <w:rPr>
          <w:rFonts w:cstheme="minorHAnsi"/>
          <w:b/>
          <w:bCs/>
          <w:sz w:val="18"/>
          <w:szCs w:val="18"/>
        </w:rPr>
        <w:t xml:space="preserve"> </w:t>
      </w:r>
    </w:p>
    <w:p w:rsidR="003C37CF" w:rsidRPr="00E0474A" w:rsidRDefault="003C37CF" w:rsidP="003C37C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3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8-HQC @ 500mg/ l</w:t>
      </w:r>
      <w:r w:rsidRPr="00E0474A">
        <w:rPr>
          <w:rFonts w:cstheme="minorHAnsi"/>
          <w:b/>
          <w:sz w:val="18"/>
          <w:szCs w:val="18"/>
        </w:rPr>
        <w:t xml:space="preserve"> </w:t>
      </w:r>
    </w:p>
    <w:p w:rsidR="003C37CF" w:rsidRPr="00E0474A" w:rsidRDefault="003C37CF" w:rsidP="003C37C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4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8- HQC @500mg/l+ Sucrose 2%</w:t>
      </w:r>
      <w:r w:rsidRPr="00E0474A">
        <w:rPr>
          <w:rFonts w:cstheme="minorHAnsi"/>
          <w:b/>
          <w:sz w:val="18"/>
          <w:szCs w:val="18"/>
        </w:rPr>
        <w:t xml:space="preserve"> </w:t>
      </w:r>
    </w:p>
    <w:p w:rsidR="003C37CF" w:rsidRPr="00E0474A" w:rsidRDefault="003C37CF" w:rsidP="003C37C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5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AgNO</w:t>
      </w:r>
      <w:r w:rsidRPr="00E0474A">
        <w:rPr>
          <w:rFonts w:cstheme="minorHAnsi"/>
          <w:bCs/>
          <w:sz w:val="18"/>
          <w:szCs w:val="18"/>
          <w:vertAlign w:val="subscript"/>
        </w:rPr>
        <w:t>3</w:t>
      </w:r>
      <w:r w:rsidRPr="00E0474A">
        <w:rPr>
          <w:rFonts w:cstheme="minorHAnsi"/>
          <w:bCs/>
          <w:sz w:val="18"/>
          <w:szCs w:val="18"/>
        </w:rPr>
        <w:t xml:space="preserve"> @1500ppm+ 8- HQC @500mg/l+ Sucrose 2%</w:t>
      </w:r>
    </w:p>
    <w:p w:rsidR="003C37CF" w:rsidRPr="00E0474A" w:rsidRDefault="003C37CF" w:rsidP="003C37C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6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Cacl</w:t>
      </w:r>
      <w:r w:rsidRPr="00E0474A">
        <w:rPr>
          <w:rFonts w:cstheme="minorHAnsi"/>
          <w:bCs/>
          <w:sz w:val="18"/>
          <w:szCs w:val="18"/>
          <w:vertAlign w:val="subscript"/>
        </w:rPr>
        <w:t>2</w:t>
      </w:r>
      <w:r w:rsidRPr="00E0474A">
        <w:rPr>
          <w:rFonts w:cstheme="minorHAnsi"/>
          <w:bCs/>
          <w:sz w:val="18"/>
          <w:szCs w:val="18"/>
        </w:rPr>
        <w:t xml:space="preserve"> @ 750mg/l+ 8- HQC @500mg/l+ Sucrose 2%</w:t>
      </w:r>
      <w:r w:rsidRPr="00E0474A">
        <w:rPr>
          <w:rFonts w:cstheme="minorHAnsi"/>
          <w:b/>
          <w:sz w:val="18"/>
          <w:szCs w:val="18"/>
        </w:rPr>
        <w:t xml:space="preserve"> </w:t>
      </w:r>
    </w:p>
    <w:p w:rsidR="003C37CF" w:rsidRPr="00E0474A" w:rsidRDefault="003C37CF" w:rsidP="003C37C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7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GA</w:t>
      </w:r>
      <w:r w:rsidRPr="00E0474A">
        <w:rPr>
          <w:rFonts w:cstheme="minorHAnsi"/>
          <w:bCs/>
          <w:sz w:val="18"/>
          <w:szCs w:val="18"/>
          <w:vertAlign w:val="subscript"/>
        </w:rPr>
        <w:t>3</w:t>
      </w:r>
      <w:r w:rsidRPr="00E0474A">
        <w:rPr>
          <w:rFonts w:cstheme="minorHAnsi"/>
          <w:bCs/>
          <w:sz w:val="18"/>
          <w:szCs w:val="18"/>
        </w:rPr>
        <w:t xml:space="preserve"> @ 80µM+ 8- HQC @500mg/l+ Sucrose 2%</w:t>
      </w:r>
      <w:r w:rsidRPr="00E0474A">
        <w:rPr>
          <w:rFonts w:cstheme="minorHAnsi"/>
          <w:b/>
          <w:sz w:val="18"/>
          <w:szCs w:val="18"/>
        </w:rPr>
        <w:t xml:space="preserve"> </w:t>
      </w:r>
    </w:p>
    <w:p w:rsidR="003C37CF" w:rsidRPr="00E0474A" w:rsidRDefault="003C37CF" w:rsidP="003C37C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8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NAA @ 100ppm+ 8- HQC @500mg/l+ Sucrose 2%</w:t>
      </w:r>
    </w:p>
    <w:p w:rsidR="003C37CF" w:rsidRPr="00E0474A" w:rsidRDefault="003C37CF" w:rsidP="003C37C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9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Citric acid @ 200mg/l+ 8- HQC @500mg/l+ Sucrose 2%</w:t>
      </w:r>
      <w:r w:rsidRPr="00E0474A">
        <w:rPr>
          <w:rFonts w:cstheme="minorHAnsi"/>
          <w:b/>
          <w:sz w:val="18"/>
          <w:szCs w:val="18"/>
        </w:rPr>
        <w:t xml:space="preserve"> </w:t>
      </w:r>
    </w:p>
    <w:p w:rsidR="003C37CF" w:rsidRDefault="003C37CF" w:rsidP="008A0385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0474A">
        <w:rPr>
          <w:rFonts w:cstheme="minorHAnsi"/>
          <w:b/>
          <w:bCs/>
          <w:sz w:val="18"/>
          <w:szCs w:val="18"/>
        </w:rPr>
        <w:t>T</w:t>
      </w:r>
      <w:r w:rsidRPr="00E0474A">
        <w:rPr>
          <w:rFonts w:cstheme="minorHAnsi"/>
          <w:b/>
          <w:bCs/>
          <w:sz w:val="18"/>
          <w:szCs w:val="18"/>
          <w:vertAlign w:val="subscript"/>
        </w:rPr>
        <w:t>10</w:t>
      </w:r>
      <w:r w:rsidRPr="00E0474A">
        <w:rPr>
          <w:rFonts w:cstheme="minorHAnsi"/>
          <w:b/>
          <w:bCs/>
          <w:sz w:val="18"/>
          <w:szCs w:val="18"/>
        </w:rPr>
        <w:t xml:space="preserve">= </w:t>
      </w:r>
      <w:r w:rsidRPr="00E0474A">
        <w:rPr>
          <w:rFonts w:cstheme="minorHAnsi"/>
          <w:bCs/>
          <w:sz w:val="18"/>
          <w:szCs w:val="18"/>
        </w:rPr>
        <w:t>BAP @ 50µM+ 8- HQC @500mg/l+ Sucrose 2%</w:t>
      </w:r>
      <w:r w:rsidRPr="00E0474A">
        <w:rPr>
          <w:rFonts w:cstheme="minorHAnsi"/>
          <w:b/>
          <w:sz w:val="18"/>
          <w:szCs w:val="18"/>
        </w:rPr>
        <w:t xml:space="preserve"> </w:t>
      </w:r>
    </w:p>
    <w:p w:rsidR="00E0474A" w:rsidRDefault="00E0474A" w:rsidP="008A0385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:rsidR="00E0474A" w:rsidRPr="00E0474A" w:rsidRDefault="00E0474A" w:rsidP="008A0385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:rsidR="008F7EE7" w:rsidRPr="00E0474A" w:rsidRDefault="008F7EE7" w:rsidP="008A0385">
      <w:pPr>
        <w:spacing w:after="0" w:line="240" w:lineRule="auto"/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E0474A">
        <w:rPr>
          <w:rFonts w:ascii="Arial" w:hAnsi="Arial" w:cs="Arial"/>
          <w:b/>
          <w:color w:val="E36C0A" w:themeColor="accent6" w:themeShade="BF"/>
          <w:sz w:val="20"/>
          <w:szCs w:val="20"/>
        </w:rPr>
        <w:t xml:space="preserve">Recent Publications: </w:t>
      </w:r>
    </w:p>
    <w:p w:rsidR="00AA499F" w:rsidRPr="00E0474A" w:rsidRDefault="008F7EE7" w:rsidP="008F7EE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E0474A">
        <w:rPr>
          <w:rFonts w:cstheme="minorHAnsi"/>
          <w:sz w:val="18"/>
          <w:szCs w:val="18"/>
        </w:rPr>
        <w:t>Malakar</w:t>
      </w:r>
      <w:proofErr w:type="spellEnd"/>
      <w:r w:rsidRPr="00E0474A">
        <w:rPr>
          <w:rFonts w:cstheme="minorHAnsi"/>
          <w:sz w:val="18"/>
          <w:szCs w:val="18"/>
        </w:rPr>
        <w:t xml:space="preserve">, M., </w:t>
      </w:r>
      <w:proofErr w:type="spellStart"/>
      <w:r w:rsidRPr="00E0474A">
        <w:rPr>
          <w:rFonts w:cstheme="minorHAnsi"/>
          <w:sz w:val="18"/>
          <w:szCs w:val="18"/>
        </w:rPr>
        <w:t>Acharyya</w:t>
      </w:r>
      <w:proofErr w:type="spellEnd"/>
      <w:r w:rsidRPr="00E0474A">
        <w:rPr>
          <w:rFonts w:cstheme="minorHAnsi"/>
          <w:sz w:val="18"/>
          <w:szCs w:val="18"/>
        </w:rPr>
        <w:t xml:space="preserve">, P and </w:t>
      </w:r>
      <w:proofErr w:type="spellStart"/>
      <w:r w:rsidRPr="00E0474A">
        <w:rPr>
          <w:rFonts w:cstheme="minorHAnsi"/>
          <w:sz w:val="18"/>
          <w:szCs w:val="18"/>
        </w:rPr>
        <w:t>Biswas</w:t>
      </w:r>
      <w:proofErr w:type="spellEnd"/>
      <w:r w:rsidRPr="00E0474A">
        <w:rPr>
          <w:rFonts w:cstheme="minorHAnsi"/>
          <w:sz w:val="18"/>
          <w:szCs w:val="18"/>
        </w:rPr>
        <w:t>, S. 2017</w:t>
      </w:r>
      <w:r w:rsidR="008606EB" w:rsidRPr="00E0474A">
        <w:rPr>
          <w:rFonts w:cstheme="minorHAnsi"/>
          <w:sz w:val="18"/>
          <w:szCs w:val="18"/>
          <w:vertAlign w:val="superscript"/>
        </w:rPr>
        <w:t>a</w:t>
      </w:r>
      <w:r w:rsidRPr="00E0474A">
        <w:rPr>
          <w:rFonts w:cstheme="minorHAnsi"/>
          <w:sz w:val="18"/>
          <w:szCs w:val="18"/>
        </w:rPr>
        <w:t xml:space="preserve">. Effect of certain chemicals on post-harvest life of some cut foliages.  </w:t>
      </w:r>
      <w:r w:rsidRPr="00E0474A">
        <w:rPr>
          <w:rFonts w:cstheme="minorHAnsi"/>
          <w:i/>
          <w:sz w:val="18"/>
          <w:szCs w:val="18"/>
        </w:rPr>
        <w:t>International Journal of Agriculture, Environment and Biotechnology</w:t>
      </w:r>
      <w:r w:rsidRPr="00E0474A">
        <w:rPr>
          <w:rFonts w:cstheme="minorHAnsi"/>
          <w:sz w:val="18"/>
          <w:szCs w:val="18"/>
        </w:rPr>
        <w:t>. 10(2): 199- 207.</w:t>
      </w:r>
    </w:p>
    <w:p w:rsidR="008606EB" w:rsidRPr="00E0474A" w:rsidRDefault="008606EB" w:rsidP="008606E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E0474A">
        <w:rPr>
          <w:rFonts w:cstheme="minorHAnsi"/>
          <w:sz w:val="18"/>
          <w:szCs w:val="18"/>
        </w:rPr>
        <w:t>Malakar</w:t>
      </w:r>
      <w:proofErr w:type="spellEnd"/>
      <w:r w:rsidRPr="00E0474A">
        <w:rPr>
          <w:rFonts w:cstheme="minorHAnsi"/>
          <w:sz w:val="18"/>
          <w:szCs w:val="18"/>
        </w:rPr>
        <w:t xml:space="preserve">, M., </w:t>
      </w:r>
      <w:proofErr w:type="spellStart"/>
      <w:r w:rsidRPr="00E0474A">
        <w:rPr>
          <w:rFonts w:cstheme="minorHAnsi"/>
          <w:sz w:val="18"/>
          <w:szCs w:val="18"/>
        </w:rPr>
        <w:t>Acharyya</w:t>
      </w:r>
      <w:proofErr w:type="spellEnd"/>
      <w:r w:rsidRPr="00E0474A">
        <w:rPr>
          <w:rFonts w:cstheme="minorHAnsi"/>
          <w:sz w:val="18"/>
          <w:szCs w:val="18"/>
        </w:rPr>
        <w:t xml:space="preserve">, P and </w:t>
      </w:r>
      <w:proofErr w:type="spellStart"/>
      <w:r w:rsidRPr="00E0474A">
        <w:rPr>
          <w:rFonts w:cstheme="minorHAnsi"/>
          <w:sz w:val="18"/>
          <w:szCs w:val="18"/>
        </w:rPr>
        <w:t>Biswas</w:t>
      </w:r>
      <w:proofErr w:type="spellEnd"/>
      <w:r w:rsidRPr="00E0474A">
        <w:rPr>
          <w:rFonts w:cstheme="minorHAnsi"/>
          <w:sz w:val="18"/>
          <w:szCs w:val="18"/>
        </w:rPr>
        <w:t>, S. 2016</w:t>
      </w:r>
      <w:r w:rsidRPr="00E0474A">
        <w:rPr>
          <w:rFonts w:cstheme="minorHAnsi"/>
          <w:sz w:val="18"/>
          <w:szCs w:val="18"/>
          <w:vertAlign w:val="superscript"/>
        </w:rPr>
        <w:t>b</w:t>
      </w:r>
      <w:r w:rsidRPr="00E0474A">
        <w:rPr>
          <w:rFonts w:cstheme="minorHAnsi"/>
          <w:sz w:val="18"/>
          <w:szCs w:val="18"/>
        </w:rPr>
        <w:t xml:space="preserve">. Effect of Different Chemicals on the Post-Harvest Life of Three Ornamental Palms. </w:t>
      </w:r>
      <w:r w:rsidRPr="00E0474A">
        <w:rPr>
          <w:rFonts w:cstheme="minorHAnsi"/>
          <w:i/>
          <w:sz w:val="18"/>
          <w:szCs w:val="18"/>
        </w:rPr>
        <w:t>International Journal of Agriculture and Environmental Research</w:t>
      </w:r>
      <w:r w:rsidRPr="00E0474A">
        <w:rPr>
          <w:rFonts w:cstheme="minorHAnsi"/>
          <w:sz w:val="18"/>
          <w:szCs w:val="18"/>
        </w:rPr>
        <w:t>. 2(3):487-498.</w:t>
      </w:r>
    </w:p>
    <w:p w:rsidR="008F7EE7" w:rsidRPr="00E0474A" w:rsidRDefault="008F7EE7" w:rsidP="008F7EE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E0474A">
        <w:rPr>
          <w:rFonts w:cstheme="minorHAnsi"/>
          <w:sz w:val="18"/>
          <w:szCs w:val="18"/>
        </w:rPr>
        <w:t>Malakar</w:t>
      </w:r>
      <w:proofErr w:type="spellEnd"/>
      <w:r w:rsidRPr="00E0474A">
        <w:rPr>
          <w:rFonts w:cstheme="minorHAnsi"/>
          <w:sz w:val="18"/>
          <w:szCs w:val="18"/>
        </w:rPr>
        <w:t xml:space="preserve">, M., </w:t>
      </w:r>
      <w:proofErr w:type="spellStart"/>
      <w:r w:rsidRPr="00E0474A">
        <w:rPr>
          <w:rFonts w:cstheme="minorHAnsi"/>
          <w:sz w:val="18"/>
          <w:szCs w:val="18"/>
        </w:rPr>
        <w:t>Acharyya</w:t>
      </w:r>
      <w:proofErr w:type="spellEnd"/>
      <w:r w:rsidRPr="00E0474A">
        <w:rPr>
          <w:rFonts w:cstheme="minorHAnsi"/>
          <w:sz w:val="18"/>
          <w:szCs w:val="18"/>
        </w:rPr>
        <w:t xml:space="preserve">, P and </w:t>
      </w:r>
      <w:proofErr w:type="spellStart"/>
      <w:r w:rsidRPr="00E0474A">
        <w:rPr>
          <w:rFonts w:cstheme="minorHAnsi"/>
          <w:sz w:val="18"/>
          <w:szCs w:val="18"/>
        </w:rPr>
        <w:t>Biswas</w:t>
      </w:r>
      <w:proofErr w:type="spellEnd"/>
      <w:r w:rsidRPr="00E0474A">
        <w:rPr>
          <w:rFonts w:cstheme="minorHAnsi"/>
          <w:sz w:val="18"/>
          <w:szCs w:val="18"/>
        </w:rPr>
        <w:t>, S. 2016</w:t>
      </w:r>
      <w:r w:rsidR="008606EB" w:rsidRPr="00E0474A">
        <w:rPr>
          <w:rFonts w:cstheme="minorHAnsi"/>
          <w:sz w:val="18"/>
          <w:szCs w:val="18"/>
          <w:vertAlign w:val="superscript"/>
        </w:rPr>
        <w:t>c</w:t>
      </w:r>
      <w:r w:rsidRPr="00E0474A">
        <w:rPr>
          <w:rFonts w:cstheme="minorHAnsi"/>
          <w:sz w:val="18"/>
          <w:szCs w:val="18"/>
        </w:rPr>
        <w:t xml:space="preserve">. Standardization of Dehydration Techniques of some Ornamental Foliage. </w:t>
      </w:r>
      <w:r w:rsidRPr="00E0474A">
        <w:rPr>
          <w:rFonts w:cstheme="minorHAnsi"/>
          <w:i/>
          <w:sz w:val="18"/>
          <w:szCs w:val="18"/>
        </w:rPr>
        <w:t>International Journal of Agriculture, Environment and Biotechnology</w:t>
      </w:r>
      <w:r w:rsidRPr="00E0474A">
        <w:rPr>
          <w:rFonts w:cstheme="minorHAnsi"/>
          <w:sz w:val="18"/>
          <w:szCs w:val="18"/>
        </w:rPr>
        <w:t>. 9(4): 555- 562.</w:t>
      </w:r>
    </w:p>
    <w:p w:rsidR="008F7EE7" w:rsidRPr="00E0474A" w:rsidRDefault="008F7EE7" w:rsidP="008F7EE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E0474A">
        <w:rPr>
          <w:rFonts w:cstheme="minorHAnsi"/>
          <w:sz w:val="18"/>
          <w:szCs w:val="18"/>
        </w:rPr>
        <w:t>Malakar</w:t>
      </w:r>
      <w:proofErr w:type="spellEnd"/>
      <w:r w:rsidRPr="00E0474A">
        <w:rPr>
          <w:rFonts w:cstheme="minorHAnsi"/>
          <w:sz w:val="18"/>
          <w:szCs w:val="18"/>
        </w:rPr>
        <w:t xml:space="preserve">, M., </w:t>
      </w:r>
      <w:proofErr w:type="spellStart"/>
      <w:r w:rsidRPr="00E0474A">
        <w:rPr>
          <w:rFonts w:cstheme="minorHAnsi"/>
          <w:sz w:val="18"/>
          <w:szCs w:val="18"/>
        </w:rPr>
        <w:t>Acharyya</w:t>
      </w:r>
      <w:proofErr w:type="spellEnd"/>
      <w:r w:rsidRPr="00E0474A">
        <w:rPr>
          <w:rFonts w:cstheme="minorHAnsi"/>
          <w:sz w:val="18"/>
          <w:szCs w:val="18"/>
        </w:rPr>
        <w:t xml:space="preserve">, P and </w:t>
      </w:r>
      <w:proofErr w:type="spellStart"/>
      <w:r w:rsidRPr="00E0474A">
        <w:rPr>
          <w:rFonts w:cstheme="minorHAnsi"/>
          <w:sz w:val="18"/>
          <w:szCs w:val="18"/>
        </w:rPr>
        <w:t>Biswas</w:t>
      </w:r>
      <w:proofErr w:type="spellEnd"/>
      <w:r w:rsidRPr="00E0474A">
        <w:rPr>
          <w:rFonts w:cstheme="minorHAnsi"/>
          <w:sz w:val="18"/>
          <w:szCs w:val="18"/>
        </w:rPr>
        <w:t>, S. 2015</w:t>
      </w:r>
      <w:r w:rsidR="008606EB" w:rsidRPr="00E0474A">
        <w:rPr>
          <w:rFonts w:cstheme="minorHAnsi"/>
          <w:sz w:val="18"/>
          <w:szCs w:val="18"/>
          <w:vertAlign w:val="superscript"/>
        </w:rPr>
        <w:t>a</w:t>
      </w:r>
      <w:r w:rsidRPr="00E0474A">
        <w:rPr>
          <w:rFonts w:cstheme="minorHAnsi"/>
          <w:sz w:val="18"/>
          <w:szCs w:val="18"/>
        </w:rPr>
        <w:t xml:space="preserve">. Evaluation of </w:t>
      </w:r>
      <w:proofErr w:type="spellStart"/>
      <w:r w:rsidRPr="00E0474A">
        <w:rPr>
          <w:rFonts w:cstheme="minorHAnsi"/>
          <w:i/>
          <w:sz w:val="18"/>
          <w:szCs w:val="18"/>
        </w:rPr>
        <w:t>Heliconia</w:t>
      </w:r>
      <w:proofErr w:type="spellEnd"/>
      <w:r w:rsidR="00FF1ADD" w:rsidRPr="00E0474A">
        <w:rPr>
          <w:rFonts w:cstheme="minorHAnsi"/>
          <w:sz w:val="18"/>
          <w:szCs w:val="18"/>
        </w:rPr>
        <w:t xml:space="preserve"> species b</w:t>
      </w:r>
      <w:r w:rsidRPr="00E0474A">
        <w:rPr>
          <w:rFonts w:cstheme="minorHAnsi"/>
          <w:sz w:val="18"/>
          <w:szCs w:val="18"/>
        </w:rPr>
        <w:t xml:space="preserve">ased on Agro-Morphological Traits. </w:t>
      </w:r>
      <w:r w:rsidRPr="00E0474A">
        <w:rPr>
          <w:rFonts w:cstheme="minorHAnsi"/>
          <w:i/>
          <w:sz w:val="18"/>
          <w:szCs w:val="18"/>
        </w:rPr>
        <w:t>International Journal of Agriculture, Environment and Biotechnology</w:t>
      </w:r>
      <w:r w:rsidRPr="00E0474A">
        <w:rPr>
          <w:rFonts w:cstheme="minorHAnsi"/>
          <w:sz w:val="18"/>
          <w:szCs w:val="18"/>
        </w:rPr>
        <w:t>. 8(4): 957- 964.</w:t>
      </w:r>
    </w:p>
    <w:p w:rsidR="00AC2EC9" w:rsidRDefault="008F7EE7" w:rsidP="00AC2EC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E0474A">
        <w:rPr>
          <w:rFonts w:cstheme="minorHAnsi"/>
          <w:sz w:val="18"/>
          <w:szCs w:val="18"/>
        </w:rPr>
        <w:t>Malakar</w:t>
      </w:r>
      <w:proofErr w:type="spellEnd"/>
      <w:r w:rsidRPr="00E0474A">
        <w:rPr>
          <w:rFonts w:cstheme="minorHAnsi"/>
          <w:sz w:val="18"/>
          <w:szCs w:val="18"/>
        </w:rPr>
        <w:t xml:space="preserve">, M., </w:t>
      </w:r>
      <w:proofErr w:type="spellStart"/>
      <w:r w:rsidRPr="00E0474A">
        <w:rPr>
          <w:rFonts w:cstheme="minorHAnsi"/>
          <w:sz w:val="18"/>
          <w:szCs w:val="18"/>
        </w:rPr>
        <w:t>Biswas</w:t>
      </w:r>
      <w:proofErr w:type="spellEnd"/>
      <w:r w:rsidRPr="00E0474A">
        <w:rPr>
          <w:rFonts w:cstheme="minorHAnsi"/>
          <w:sz w:val="18"/>
          <w:szCs w:val="18"/>
        </w:rPr>
        <w:t xml:space="preserve">, S and </w:t>
      </w:r>
      <w:proofErr w:type="spellStart"/>
      <w:r w:rsidRPr="00E0474A">
        <w:rPr>
          <w:rFonts w:cstheme="minorHAnsi"/>
          <w:sz w:val="18"/>
          <w:szCs w:val="18"/>
        </w:rPr>
        <w:t>Acharyya</w:t>
      </w:r>
      <w:proofErr w:type="spellEnd"/>
      <w:r w:rsidRPr="00E0474A">
        <w:rPr>
          <w:rFonts w:cstheme="minorHAnsi"/>
          <w:sz w:val="18"/>
          <w:szCs w:val="18"/>
        </w:rPr>
        <w:t>, P. 2015</w:t>
      </w:r>
      <w:r w:rsidR="008606EB" w:rsidRPr="00E0474A">
        <w:rPr>
          <w:rFonts w:cstheme="minorHAnsi"/>
          <w:sz w:val="18"/>
          <w:szCs w:val="18"/>
          <w:vertAlign w:val="superscript"/>
        </w:rPr>
        <w:t>b</w:t>
      </w:r>
      <w:r w:rsidRPr="00E0474A">
        <w:rPr>
          <w:rFonts w:cstheme="minorHAnsi"/>
          <w:sz w:val="18"/>
          <w:szCs w:val="18"/>
        </w:rPr>
        <w:t xml:space="preserve">. Evaluation of Storage Materials and Pre-sowing Treatments on the Germination of Some Flowering Annual Seeds. </w:t>
      </w:r>
      <w:r w:rsidRPr="00E0474A">
        <w:rPr>
          <w:rFonts w:cstheme="minorHAnsi"/>
          <w:i/>
          <w:sz w:val="18"/>
          <w:szCs w:val="18"/>
        </w:rPr>
        <w:t>Indian Agriculturist</w:t>
      </w:r>
      <w:r w:rsidRPr="00E0474A">
        <w:rPr>
          <w:rFonts w:cstheme="minorHAnsi"/>
          <w:sz w:val="18"/>
          <w:szCs w:val="18"/>
        </w:rPr>
        <w:t>. 58 (3): 171-176.</w:t>
      </w:r>
    </w:p>
    <w:p w:rsidR="00E0474A" w:rsidRDefault="00E0474A" w:rsidP="00E0474A">
      <w:pPr>
        <w:pStyle w:val="ListParagraph"/>
        <w:spacing w:after="0" w:line="240" w:lineRule="auto"/>
        <w:jc w:val="both"/>
        <w:rPr>
          <w:rFonts w:cstheme="minorHAnsi"/>
          <w:sz w:val="18"/>
          <w:szCs w:val="18"/>
        </w:rPr>
      </w:pPr>
    </w:p>
    <w:p w:rsidR="00E0474A" w:rsidRPr="00E0474A" w:rsidRDefault="00E0474A" w:rsidP="00E0474A">
      <w:pPr>
        <w:pStyle w:val="ListParagraph"/>
        <w:spacing w:after="0" w:line="240" w:lineRule="auto"/>
        <w:jc w:val="both"/>
        <w:rPr>
          <w:rFonts w:cstheme="minorHAnsi"/>
          <w:sz w:val="18"/>
          <w:szCs w:val="18"/>
        </w:rPr>
      </w:pPr>
    </w:p>
    <w:tbl>
      <w:tblPr>
        <w:tblW w:w="0" w:type="auto"/>
        <w:tblInd w:w="1920" w:type="dxa"/>
        <w:tblBorders>
          <w:top w:val="single" w:sz="4" w:space="0" w:color="auto"/>
        </w:tblBorders>
        <w:tblLook w:val="0000"/>
      </w:tblPr>
      <w:tblGrid>
        <w:gridCol w:w="6285"/>
      </w:tblGrid>
      <w:tr w:rsidR="00AC2EC9" w:rsidTr="001A0693">
        <w:trPr>
          <w:trHeight w:val="100"/>
        </w:trPr>
        <w:tc>
          <w:tcPr>
            <w:tcW w:w="6285" w:type="dxa"/>
          </w:tcPr>
          <w:p w:rsidR="00AC2EC9" w:rsidRDefault="00F70170" w:rsidP="00AC2EC9">
            <w:pPr>
              <w:spacing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-1143000</wp:posOffset>
                  </wp:positionH>
                  <wp:positionV relativeFrom="paragraph">
                    <wp:posOffset>128270</wp:posOffset>
                  </wp:positionV>
                  <wp:extent cx="1123950" cy="1276350"/>
                  <wp:effectExtent l="19050" t="0" r="0" b="0"/>
                  <wp:wrapNone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27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C2EC9" w:rsidRDefault="00AC2EC9" w:rsidP="00AC2EC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</w:p>
    <w:p w:rsidR="00E0474A" w:rsidRDefault="001A0693" w:rsidP="00AC2EC9">
      <w:pPr>
        <w:tabs>
          <w:tab w:val="left" w:pos="2265"/>
        </w:tabs>
      </w:pPr>
      <w:r>
        <w:t xml:space="preserve">                                     </w:t>
      </w:r>
    </w:p>
    <w:p w:rsidR="00AC2EC9" w:rsidRPr="00E0474A" w:rsidRDefault="00F70170" w:rsidP="00AC2EC9">
      <w:pPr>
        <w:tabs>
          <w:tab w:val="left" w:pos="2265"/>
        </w:tabs>
        <w:rPr>
          <w:rFonts w:ascii="Arial" w:hAnsi="Arial" w:cs="Arial"/>
          <w:b/>
          <w:color w:val="E36C0A" w:themeColor="accent6" w:themeShade="BF"/>
        </w:rPr>
      </w:pPr>
      <w:r>
        <w:t xml:space="preserve">                                           </w:t>
      </w:r>
      <w:r w:rsidR="00AC2EC9" w:rsidRPr="00E0474A">
        <w:rPr>
          <w:rFonts w:ascii="Arial" w:hAnsi="Arial" w:cs="Arial"/>
          <w:b/>
          <w:color w:val="E36C0A" w:themeColor="accent6" w:themeShade="BF"/>
        </w:rPr>
        <w:t>Biography:</w:t>
      </w:r>
    </w:p>
    <w:p w:rsidR="00E0474A" w:rsidRDefault="00E0474A" w:rsidP="002958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74A" w:rsidRDefault="00E0474A" w:rsidP="0029587D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8F7EE7" w:rsidRPr="00E0474A" w:rsidRDefault="00AC2EC9" w:rsidP="0029587D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0474A">
        <w:rPr>
          <w:rFonts w:ascii="Arial" w:hAnsi="Arial" w:cs="Arial"/>
          <w:sz w:val="14"/>
          <w:szCs w:val="14"/>
        </w:rPr>
        <w:t xml:space="preserve">I, Ms. </w:t>
      </w:r>
      <w:proofErr w:type="spellStart"/>
      <w:r w:rsidRPr="00E0474A">
        <w:rPr>
          <w:rFonts w:ascii="Arial" w:hAnsi="Arial" w:cs="Arial"/>
          <w:sz w:val="14"/>
          <w:szCs w:val="14"/>
        </w:rPr>
        <w:t>Moumita</w:t>
      </w:r>
      <w:proofErr w:type="spellEnd"/>
      <w:r w:rsidRPr="00E0474A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0474A">
        <w:rPr>
          <w:rFonts w:ascii="Arial" w:hAnsi="Arial" w:cs="Arial"/>
          <w:sz w:val="14"/>
          <w:szCs w:val="14"/>
        </w:rPr>
        <w:t>Malakar</w:t>
      </w:r>
      <w:proofErr w:type="spellEnd"/>
      <w:r w:rsidRPr="00E0474A">
        <w:rPr>
          <w:rFonts w:ascii="Arial" w:hAnsi="Arial" w:cs="Arial"/>
          <w:sz w:val="14"/>
          <w:szCs w:val="14"/>
        </w:rPr>
        <w:t>, INSPIRE Fellow (SRF) of University of Calcutta, India presently pursuing my ‘Doctoral Program’ on Horticulture, specialization ‘Floriculture &amp; Landscaping’. The investigation on</w:t>
      </w:r>
      <w:r w:rsidR="0029587D" w:rsidRPr="00E0474A">
        <w:rPr>
          <w:rFonts w:ascii="Arial" w:hAnsi="Arial" w:cs="Arial"/>
          <w:sz w:val="14"/>
          <w:szCs w:val="14"/>
        </w:rPr>
        <w:t xml:space="preserve"> ‘impact of various vase-solutions on post-harvest life of </w:t>
      </w:r>
      <w:proofErr w:type="spellStart"/>
      <w:r w:rsidR="0029587D" w:rsidRPr="00E0474A">
        <w:rPr>
          <w:rFonts w:ascii="Arial" w:hAnsi="Arial" w:cs="Arial"/>
          <w:i/>
          <w:sz w:val="14"/>
          <w:szCs w:val="14"/>
        </w:rPr>
        <w:t>Heliconia</w:t>
      </w:r>
      <w:proofErr w:type="spellEnd"/>
      <w:r w:rsidR="0029587D" w:rsidRPr="00E0474A">
        <w:rPr>
          <w:rFonts w:ascii="Arial" w:hAnsi="Arial" w:cs="Arial"/>
          <w:sz w:val="14"/>
          <w:szCs w:val="14"/>
        </w:rPr>
        <w:t xml:space="preserve"> inflorescences’ is the worthy portion of my thesis work. I had studied longevity of few ornamental foliages and flowers too but as </w:t>
      </w:r>
      <w:proofErr w:type="spellStart"/>
      <w:r w:rsidR="0029587D" w:rsidRPr="00E0474A">
        <w:rPr>
          <w:rFonts w:ascii="Arial" w:hAnsi="Arial" w:cs="Arial"/>
          <w:i/>
          <w:sz w:val="14"/>
          <w:szCs w:val="14"/>
        </w:rPr>
        <w:t>Heliconia</w:t>
      </w:r>
      <w:proofErr w:type="spellEnd"/>
      <w:r w:rsidR="0029587D" w:rsidRPr="00E0474A">
        <w:rPr>
          <w:rFonts w:ascii="Arial" w:hAnsi="Arial" w:cs="Arial"/>
          <w:sz w:val="14"/>
          <w:szCs w:val="14"/>
        </w:rPr>
        <w:t xml:space="preserve"> presently </w:t>
      </w:r>
      <w:proofErr w:type="gramStart"/>
      <w:r w:rsidR="0029587D" w:rsidRPr="00E0474A">
        <w:rPr>
          <w:rFonts w:ascii="Arial" w:hAnsi="Arial" w:cs="Arial"/>
          <w:sz w:val="14"/>
          <w:szCs w:val="14"/>
        </w:rPr>
        <w:t>is</w:t>
      </w:r>
      <w:proofErr w:type="gramEnd"/>
      <w:r w:rsidR="0029587D" w:rsidRPr="00E0474A">
        <w:rPr>
          <w:rFonts w:ascii="Arial" w:hAnsi="Arial" w:cs="Arial"/>
          <w:sz w:val="14"/>
          <w:szCs w:val="14"/>
        </w:rPr>
        <w:t xml:space="preserve"> </w:t>
      </w:r>
      <w:r w:rsidR="0029587D" w:rsidRPr="00E0474A">
        <w:rPr>
          <w:rFonts w:ascii="Arial" w:hAnsi="Arial" w:cs="Arial"/>
          <w:bCs/>
          <w:sz w:val="14"/>
          <w:szCs w:val="14"/>
        </w:rPr>
        <w:t>highly priced in flower plaza</w:t>
      </w:r>
      <w:r w:rsidR="0029587D" w:rsidRPr="00E0474A">
        <w:rPr>
          <w:rFonts w:ascii="Arial" w:hAnsi="Arial" w:cs="Arial"/>
          <w:sz w:val="14"/>
          <w:szCs w:val="14"/>
        </w:rPr>
        <w:t xml:space="preserve"> especially in west-Bengal</w:t>
      </w:r>
      <w:r w:rsidR="0075762F" w:rsidRPr="00E0474A">
        <w:rPr>
          <w:rFonts w:ascii="Arial" w:hAnsi="Arial" w:cs="Arial"/>
          <w:sz w:val="14"/>
          <w:szCs w:val="14"/>
        </w:rPr>
        <w:t>, so</w:t>
      </w:r>
      <w:r w:rsidR="0029587D" w:rsidRPr="00E0474A">
        <w:rPr>
          <w:rFonts w:ascii="Arial" w:hAnsi="Arial" w:cs="Arial"/>
          <w:sz w:val="14"/>
          <w:szCs w:val="14"/>
        </w:rPr>
        <w:t xml:space="preserve"> </w:t>
      </w:r>
      <w:r w:rsidR="0075762F" w:rsidRPr="00E0474A">
        <w:rPr>
          <w:rFonts w:ascii="Arial" w:hAnsi="Arial" w:cs="Arial"/>
          <w:sz w:val="14"/>
          <w:szCs w:val="14"/>
        </w:rPr>
        <w:t>it’s become a most apt approach to extend its vase-life. The positive impact on entrepreneurs of this authentic endeavor is ascertained and</w:t>
      </w:r>
      <w:r w:rsidR="0025097F" w:rsidRPr="00E0474A">
        <w:rPr>
          <w:rFonts w:ascii="Arial" w:hAnsi="Arial" w:cs="Arial"/>
          <w:sz w:val="14"/>
          <w:szCs w:val="14"/>
        </w:rPr>
        <w:t xml:space="preserve"> will keenly influence </w:t>
      </w:r>
      <w:r w:rsidR="00F838BE" w:rsidRPr="00E0474A">
        <w:rPr>
          <w:rFonts w:ascii="Arial" w:hAnsi="Arial" w:cs="Arial"/>
          <w:sz w:val="14"/>
          <w:szCs w:val="14"/>
        </w:rPr>
        <w:t xml:space="preserve">the wealth since </w:t>
      </w:r>
      <w:proofErr w:type="spellStart"/>
      <w:r w:rsidR="00F838BE" w:rsidRPr="00E0474A">
        <w:rPr>
          <w:rFonts w:ascii="Arial" w:hAnsi="Arial" w:cs="Arial"/>
          <w:i/>
          <w:sz w:val="14"/>
          <w:szCs w:val="14"/>
        </w:rPr>
        <w:t>Helilconia</w:t>
      </w:r>
      <w:proofErr w:type="spellEnd"/>
      <w:r w:rsidR="00F838BE" w:rsidRPr="00E0474A">
        <w:rPr>
          <w:rFonts w:ascii="Arial" w:hAnsi="Arial" w:cs="Arial"/>
          <w:sz w:val="14"/>
          <w:szCs w:val="14"/>
        </w:rPr>
        <w:t xml:space="preserve"> is an emerging ‘specialty cut flower’</w:t>
      </w:r>
      <w:r w:rsidR="0025097F" w:rsidRPr="00E0474A">
        <w:rPr>
          <w:rFonts w:ascii="Arial" w:hAnsi="Arial" w:cs="Arial"/>
          <w:sz w:val="14"/>
          <w:szCs w:val="14"/>
        </w:rPr>
        <w:t xml:space="preserve"> </w:t>
      </w:r>
      <w:r w:rsidR="00F838BE" w:rsidRPr="00E0474A">
        <w:rPr>
          <w:rFonts w:ascii="Arial" w:hAnsi="Arial" w:cs="Arial"/>
          <w:sz w:val="14"/>
          <w:szCs w:val="14"/>
        </w:rPr>
        <w:t>in West-Bengal, India.</w:t>
      </w:r>
    </w:p>
    <w:p w:rsidR="001A0693" w:rsidRDefault="001A0693" w:rsidP="001A069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A0693" w:rsidRPr="00E0474A" w:rsidRDefault="001A0693" w:rsidP="001A0693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  <w:r w:rsidRPr="00E0474A">
        <w:rPr>
          <w:rFonts w:ascii="Arial" w:hAnsi="Arial" w:cs="Arial"/>
          <w:sz w:val="14"/>
          <w:szCs w:val="14"/>
        </w:rPr>
        <w:t xml:space="preserve">E-mail: </w:t>
      </w:r>
      <w:hyperlink r:id="rId8" w:history="1">
        <w:r w:rsidRPr="00E0474A">
          <w:rPr>
            <w:rStyle w:val="Hyperlink"/>
            <w:rFonts w:ascii="Arial" w:hAnsi="Arial" w:cs="Arial"/>
            <w:sz w:val="14"/>
            <w:szCs w:val="14"/>
          </w:rPr>
          <w:t>moumitamalakar7@gmail.com</w:t>
        </w:r>
      </w:hyperlink>
    </w:p>
    <w:sectPr w:rsidR="001A0693" w:rsidRPr="00E0474A" w:rsidSect="00947CB4">
      <w:pgSz w:w="11521" w:h="14402" w:code="26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96888"/>
    <w:multiLevelType w:val="hybridMultilevel"/>
    <w:tmpl w:val="626C5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600A9E"/>
    <w:multiLevelType w:val="hybridMultilevel"/>
    <w:tmpl w:val="82D24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A0385"/>
    <w:rsid w:val="000B7A2A"/>
    <w:rsid w:val="001A0693"/>
    <w:rsid w:val="001A0970"/>
    <w:rsid w:val="0025097F"/>
    <w:rsid w:val="0029587D"/>
    <w:rsid w:val="00326537"/>
    <w:rsid w:val="0036303F"/>
    <w:rsid w:val="003A2F0A"/>
    <w:rsid w:val="003C37CF"/>
    <w:rsid w:val="003E76C6"/>
    <w:rsid w:val="0046392E"/>
    <w:rsid w:val="00546F78"/>
    <w:rsid w:val="00683CFB"/>
    <w:rsid w:val="0075762F"/>
    <w:rsid w:val="008606EB"/>
    <w:rsid w:val="008736B3"/>
    <w:rsid w:val="008A0385"/>
    <w:rsid w:val="008B6CCC"/>
    <w:rsid w:val="008F7EE7"/>
    <w:rsid w:val="00947CB4"/>
    <w:rsid w:val="00AA499F"/>
    <w:rsid w:val="00AC2EC9"/>
    <w:rsid w:val="00B77CE7"/>
    <w:rsid w:val="00BE0224"/>
    <w:rsid w:val="00C42E4D"/>
    <w:rsid w:val="00D2455E"/>
    <w:rsid w:val="00DB7ACC"/>
    <w:rsid w:val="00E0474A"/>
    <w:rsid w:val="00F70170"/>
    <w:rsid w:val="00F838BE"/>
    <w:rsid w:val="00FC0626"/>
    <w:rsid w:val="00FF1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E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3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6B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A0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mitamalakar7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H:\data0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4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0.10688393353092575"/>
          <c:y val="4.6770924467774859E-2"/>
          <c:w val="0.7938144704803467"/>
          <c:h val="0.45652838171348037"/>
        </c:manualLayout>
      </c:layout>
      <c:bar3DChart>
        <c:barDir val="col"/>
        <c:grouping val="clustered"/>
        <c:ser>
          <c:idx val="0"/>
          <c:order val="0"/>
          <c:tx>
            <c:strRef>
              <c:f>Sheet2!$A$246</c:f>
              <c:strCache>
                <c:ptCount val="1"/>
                <c:pt idx="0">
                  <c:v>T1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Sheet2!$B$246:$K$246</c:f>
              <c:numCache>
                <c:formatCode>General</c:formatCode>
                <c:ptCount val="10"/>
                <c:pt idx="0">
                  <c:v>11.66</c:v>
                </c:pt>
                <c:pt idx="1">
                  <c:v>10</c:v>
                </c:pt>
                <c:pt idx="2">
                  <c:v>11.66</c:v>
                </c:pt>
                <c:pt idx="3">
                  <c:v>10.66</c:v>
                </c:pt>
                <c:pt idx="4">
                  <c:v>11</c:v>
                </c:pt>
                <c:pt idx="5">
                  <c:v>10</c:v>
                </c:pt>
                <c:pt idx="6">
                  <c:v>11</c:v>
                </c:pt>
                <c:pt idx="7">
                  <c:v>10.66</c:v>
                </c:pt>
                <c:pt idx="8">
                  <c:v>11</c:v>
                </c:pt>
              </c:numCache>
            </c:numRef>
          </c:val>
        </c:ser>
        <c:ser>
          <c:idx val="1"/>
          <c:order val="1"/>
          <c:tx>
            <c:strRef>
              <c:f>Sheet2!$A$247</c:f>
              <c:strCache>
                <c:ptCount val="1"/>
                <c:pt idx="0">
                  <c:v>T2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Sheet2!$B$247:$K$247</c:f>
              <c:numCache>
                <c:formatCode>General</c:formatCode>
                <c:ptCount val="10"/>
                <c:pt idx="0">
                  <c:v>10.33</c:v>
                </c:pt>
                <c:pt idx="1">
                  <c:v>11.33</c:v>
                </c:pt>
                <c:pt idx="2">
                  <c:v>11.33</c:v>
                </c:pt>
                <c:pt idx="3">
                  <c:v>11</c:v>
                </c:pt>
                <c:pt idx="4">
                  <c:v>11.33</c:v>
                </c:pt>
                <c:pt idx="5">
                  <c:v>11</c:v>
                </c:pt>
                <c:pt idx="6">
                  <c:v>12.33</c:v>
                </c:pt>
                <c:pt idx="7">
                  <c:v>11</c:v>
                </c:pt>
                <c:pt idx="8">
                  <c:v>11.66</c:v>
                </c:pt>
              </c:numCache>
            </c:numRef>
          </c:val>
        </c:ser>
        <c:ser>
          <c:idx val="2"/>
          <c:order val="2"/>
          <c:tx>
            <c:strRef>
              <c:f>Sheet2!$A$248</c:f>
              <c:strCache>
                <c:ptCount val="1"/>
                <c:pt idx="0">
                  <c:v>T3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Sheet2!$B$248:$K$248</c:f>
              <c:numCache>
                <c:formatCode>General</c:formatCode>
                <c:ptCount val="10"/>
                <c:pt idx="0">
                  <c:v>12.33</c:v>
                </c:pt>
                <c:pt idx="1">
                  <c:v>12.66</c:v>
                </c:pt>
                <c:pt idx="2">
                  <c:v>12.33</c:v>
                </c:pt>
                <c:pt idx="3">
                  <c:v>11.33</c:v>
                </c:pt>
                <c:pt idx="4">
                  <c:v>12.66</c:v>
                </c:pt>
                <c:pt idx="5">
                  <c:v>11</c:v>
                </c:pt>
                <c:pt idx="6">
                  <c:v>12.66</c:v>
                </c:pt>
                <c:pt idx="7">
                  <c:v>12</c:v>
                </c:pt>
                <c:pt idx="8">
                  <c:v>12.66</c:v>
                </c:pt>
              </c:numCache>
            </c:numRef>
          </c:val>
        </c:ser>
        <c:ser>
          <c:idx val="3"/>
          <c:order val="3"/>
          <c:tx>
            <c:strRef>
              <c:f>Sheet2!$A$249</c:f>
              <c:strCache>
                <c:ptCount val="1"/>
                <c:pt idx="0">
                  <c:v>T4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Sheet2!$B$249:$K$249</c:f>
              <c:numCache>
                <c:formatCode>General</c:formatCode>
                <c:ptCount val="10"/>
                <c:pt idx="0">
                  <c:v>13.66</c:v>
                </c:pt>
                <c:pt idx="1">
                  <c:v>12.33</c:v>
                </c:pt>
                <c:pt idx="2">
                  <c:v>13.66</c:v>
                </c:pt>
                <c:pt idx="3">
                  <c:v>12.33</c:v>
                </c:pt>
                <c:pt idx="4">
                  <c:v>12.66</c:v>
                </c:pt>
                <c:pt idx="5">
                  <c:v>12.66</c:v>
                </c:pt>
                <c:pt idx="6">
                  <c:v>13.66</c:v>
                </c:pt>
                <c:pt idx="7">
                  <c:v>12.66</c:v>
                </c:pt>
                <c:pt idx="8">
                  <c:v>13.66</c:v>
                </c:pt>
              </c:numCache>
            </c:numRef>
          </c:val>
        </c:ser>
        <c:ser>
          <c:idx val="4"/>
          <c:order val="4"/>
          <c:tx>
            <c:strRef>
              <c:f>Sheet2!$A$250</c:f>
              <c:strCache>
                <c:ptCount val="1"/>
                <c:pt idx="0">
                  <c:v>T5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Sheet2!$B$250:$K$250</c:f>
              <c:numCache>
                <c:formatCode>General</c:formatCode>
                <c:ptCount val="10"/>
                <c:pt idx="0">
                  <c:v>15.33</c:v>
                </c:pt>
                <c:pt idx="1">
                  <c:v>14</c:v>
                </c:pt>
                <c:pt idx="2">
                  <c:v>15.33</c:v>
                </c:pt>
                <c:pt idx="3">
                  <c:v>16</c:v>
                </c:pt>
                <c:pt idx="4">
                  <c:v>14.33</c:v>
                </c:pt>
                <c:pt idx="5">
                  <c:v>14</c:v>
                </c:pt>
                <c:pt idx="6">
                  <c:v>16.66</c:v>
                </c:pt>
                <c:pt idx="7">
                  <c:v>16.66</c:v>
                </c:pt>
                <c:pt idx="8">
                  <c:v>15.33</c:v>
                </c:pt>
              </c:numCache>
            </c:numRef>
          </c:val>
        </c:ser>
        <c:ser>
          <c:idx val="5"/>
          <c:order val="5"/>
          <c:tx>
            <c:strRef>
              <c:f>Sheet2!$A$251</c:f>
              <c:strCache>
                <c:ptCount val="1"/>
                <c:pt idx="0">
                  <c:v>T6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Sheet2!$B$251:$K$251</c:f>
              <c:numCache>
                <c:formatCode>General</c:formatCode>
                <c:ptCount val="10"/>
                <c:pt idx="0">
                  <c:v>13.33</c:v>
                </c:pt>
                <c:pt idx="1">
                  <c:v>15.33</c:v>
                </c:pt>
                <c:pt idx="2">
                  <c:v>15.33</c:v>
                </c:pt>
                <c:pt idx="3">
                  <c:v>15.33</c:v>
                </c:pt>
                <c:pt idx="4">
                  <c:v>15</c:v>
                </c:pt>
                <c:pt idx="5">
                  <c:v>14.33</c:v>
                </c:pt>
                <c:pt idx="6">
                  <c:v>15</c:v>
                </c:pt>
                <c:pt idx="7">
                  <c:v>15.33</c:v>
                </c:pt>
                <c:pt idx="8">
                  <c:v>16.66</c:v>
                </c:pt>
              </c:numCache>
            </c:numRef>
          </c:val>
        </c:ser>
        <c:ser>
          <c:idx val="6"/>
          <c:order val="6"/>
          <c:tx>
            <c:strRef>
              <c:f>Sheet2!$A$252</c:f>
              <c:strCache>
                <c:ptCount val="1"/>
                <c:pt idx="0">
                  <c:v>T7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Sheet2!$B$252:$K$252</c:f>
              <c:numCache>
                <c:formatCode>General</c:formatCode>
                <c:ptCount val="10"/>
                <c:pt idx="0">
                  <c:v>15</c:v>
                </c:pt>
                <c:pt idx="1">
                  <c:v>16</c:v>
                </c:pt>
                <c:pt idx="2">
                  <c:v>14</c:v>
                </c:pt>
                <c:pt idx="3">
                  <c:v>15.33</c:v>
                </c:pt>
                <c:pt idx="4">
                  <c:v>16.329999999999988</c:v>
                </c:pt>
                <c:pt idx="5">
                  <c:v>15.33</c:v>
                </c:pt>
                <c:pt idx="6">
                  <c:v>15</c:v>
                </c:pt>
                <c:pt idx="7">
                  <c:v>15</c:v>
                </c:pt>
                <c:pt idx="8">
                  <c:v>15.33</c:v>
                </c:pt>
              </c:numCache>
            </c:numRef>
          </c:val>
        </c:ser>
        <c:ser>
          <c:idx val="7"/>
          <c:order val="7"/>
          <c:tx>
            <c:strRef>
              <c:f>Sheet2!$A$253</c:f>
              <c:strCache>
                <c:ptCount val="1"/>
                <c:pt idx="0">
                  <c:v>T8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Sheet2!$B$253:$K$253</c:f>
              <c:numCache>
                <c:formatCode>General</c:formatCode>
                <c:ptCount val="10"/>
                <c:pt idx="0">
                  <c:v>11.33</c:v>
                </c:pt>
                <c:pt idx="1">
                  <c:v>11</c:v>
                </c:pt>
                <c:pt idx="2">
                  <c:v>12.33</c:v>
                </c:pt>
                <c:pt idx="3">
                  <c:v>13</c:v>
                </c:pt>
                <c:pt idx="4">
                  <c:v>12.66</c:v>
                </c:pt>
                <c:pt idx="5">
                  <c:v>12.66</c:v>
                </c:pt>
                <c:pt idx="6">
                  <c:v>13</c:v>
                </c:pt>
                <c:pt idx="7">
                  <c:v>13</c:v>
                </c:pt>
                <c:pt idx="8">
                  <c:v>13</c:v>
                </c:pt>
              </c:numCache>
            </c:numRef>
          </c:val>
        </c:ser>
        <c:ser>
          <c:idx val="8"/>
          <c:order val="8"/>
          <c:tx>
            <c:strRef>
              <c:f>Sheet2!$A$254</c:f>
              <c:strCache>
                <c:ptCount val="1"/>
                <c:pt idx="0">
                  <c:v>T9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Sheet2!$B$254:$K$254</c:f>
              <c:numCache>
                <c:formatCode>General</c:formatCode>
                <c:ptCount val="10"/>
                <c:pt idx="0">
                  <c:v>13.66</c:v>
                </c:pt>
                <c:pt idx="1">
                  <c:v>14.33</c:v>
                </c:pt>
                <c:pt idx="2">
                  <c:v>14.66</c:v>
                </c:pt>
                <c:pt idx="3">
                  <c:v>14.66</c:v>
                </c:pt>
                <c:pt idx="4">
                  <c:v>14.66</c:v>
                </c:pt>
                <c:pt idx="5">
                  <c:v>14.33</c:v>
                </c:pt>
                <c:pt idx="6">
                  <c:v>14</c:v>
                </c:pt>
                <c:pt idx="7">
                  <c:v>15.66</c:v>
                </c:pt>
                <c:pt idx="8">
                  <c:v>15.66</c:v>
                </c:pt>
              </c:numCache>
            </c:numRef>
          </c:val>
        </c:ser>
        <c:ser>
          <c:idx val="9"/>
          <c:order val="9"/>
          <c:tx>
            <c:strRef>
              <c:f>Sheet2!$A$255</c:f>
              <c:strCache>
                <c:ptCount val="1"/>
                <c:pt idx="0">
                  <c:v>T10</c:v>
                </c:pt>
              </c:strCache>
            </c:strRef>
          </c:tx>
          <c:cat>
            <c:strRef>
              <c:f>Sheet2!$B$245:$K$245</c:f>
              <c:strCache>
                <c:ptCount val="9"/>
                <c:pt idx="0">
                  <c:v>H. psittacorum x spathocircinata cv.'Golden Torch'</c:v>
                </c:pt>
                <c:pt idx="1">
                  <c:v>H. rostrata</c:v>
                </c:pt>
                <c:pt idx="2">
                  <c:v>H. humilis</c:v>
                </c:pt>
                <c:pt idx="3">
                  <c:v>H. psittacorum var. choconiana</c:v>
                </c:pt>
                <c:pt idx="4">
                  <c:v>H. psittacorum var.Lady di</c:v>
                </c:pt>
                <c:pt idx="5">
                  <c:v>H.wagneriana</c:v>
                </c:pt>
                <c:pt idx="6">
                  <c:v>H.stricta</c:v>
                </c:pt>
                <c:pt idx="7">
                  <c:v>H.stricta var.Dwarf Jamaican Red</c:v>
                </c:pt>
                <c:pt idx="8">
                  <c:v>H. metallica</c:v>
                </c:pt>
              </c:strCache>
            </c:strRef>
          </c:cat>
          <c:val>
            <c:numRef>
              <c:f>Sheet2!$B$255:$K$255</c:f>
              <c:numCache>
                <c:formatCode>General</c:formatCode>
                <c:ptCount val="10"/>
                <c:pt idx="0">
                  <c:v>11</c:v>
                </c:pt>
                <c:pt idx="1">
                  <c:v>11.66</c:v>
                </c:pt>
                <c:pt idx="2">
                  <c:v>12</c:v>
                </c:pt>
                <c:pt idx="3">
                  <c:v>12</c:v>
                </c:pt>
                <c:pt idx="4">
                  <c:v>12.33</c:v>
                </c:pt>
                <c:pt idx="5">
                  <c:v>12</c:v>
                </c:pt>
                <c:pt idx="6">
                  <c:v>12.33</c:v>
                </c:pt>
                <c:pt idx="7">
                  <c:v>13.66</c:v>
                </c:pt>
                <c:pt idx="8">
                  <c:v>13.33</c:v>
                </c:pt>
              </c:numCache>
            </c:numRef>
          </c:val>
        </c:ser>
        <c:gapWidth val="300"/>
        <c:shape val="box"/>
        <c:axId val="74397184"/>
        <c:axId val="75002624"/>
        <c:axId val="0"/>
      </c:bar3DChart>
      <c:catAx>
        <c:axId val="743971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i="1">
                    <a:latin typeface="+mn-lt"/>
                    <a:cs typeface="Times New Roman" pitchFamily="18" charset="0"/>
                  </a:rPr>
                  <a:t>Heliconia</a:t>
                </a:r>
                <a:r>
                  <a:rPr lang="en-US">
                    <a:latin typeface="+mn-lt"/>
                    <a:cs typeface="Times New Roman" pitchFamily="18" charset="0"/>
                  </a:rPr>
                  <a:t> Genotypes</a:t>
                </a:r>
              </a:p>
            </c:rich>
          </c:tx>
          <c:layout>
            <c:manualLayout>
              <c:xMode val="edge"/>
              <c:yMode val="edge"/>
              <c:x val="0.36751336052872907"/>
              <c:y val="0.92775570964077325"/>
            </c:manualLayout>
          </c:layout>
        </c:title>
        <c:majorTickMark val="none"/>
        <c:tickLblPos val="nextTo"/>
        <c:txPr>
          <a:bodyPr/>
          <a:lstStyle/>
          <a:p>
            <a:pPr>
              <a:defRPr sz="800" i="1">
                <a:latin typeface="+mn-lt"/>
                <a:cs typeface="Times New Roman" pitchFamily="18" charset="0"/>
              </a:defRPr>
            </a:pPr>
            <a:endParaRPr lang="en-US"/>
          </a:p>
        </c:txPr>
        <c:crossAx val="75002624"/>
        <c:crosses val="autoZero"/>
        <c:auto val="1"/>
        <c:lblAlgn val="ctr"/>
        <c:lblOffset val="100"/>
      </c:catAx>
      <c:valAx>
        <c:axId val="75002624"/>
        <c:scaling>
          <c:orientation val="minMax"/>
        </c:scaling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>
                    <a:latin typeface="+mn-lt"/>
                    <a:cs typeface="Times New Roman" pitchFamily="18" charset="0"/>
                  </a:rPr>
                  <a:t>Vase-life (days)</a:t>
                </a:r>
              </a:p>
            </c:rich>
          </c:tx>
          <c:layout>
            <c:manualLayout>
              <c:xMode val="edge"/>
              <c:yMode val="edge"/>
              <c:x val="3.8806564842045345E-2"/>
              <c:y val="0.14530771340149662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>
                <a:latin typeface="+mn-lt"/>
                <a:cs typeface="Times New Roman" pitchFamily="18" charset="0"/>
              </a:defRPr>
            </a:pPr>
            <a:endParaRPr lang="en-US"/>
          </a:p>
        </c:txPr>
        <c:crossAx val="74397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1552169501989433"/>
          <c:y val="7.8005641085909072E-2"/>
          <c:w val="6.9154591533547888E-2"/>
          <c:h val="0.84398871782818308"/>
        </c:manualLayout>
      </c:layout>
      <c:txPr>
        <a:bodyPr/>
        <a:lstStyle/>
        <a:p>
          <a:pPr>
            <a:defRPr>
              <a:latin typeface="+mn-lt"/>
              <a:cs typeface="Times New Roman" pitchFamily="18" charset="0"/>
            </a:defRPr>
          </a:pPr>
          <a:endParaRPr lang="en-US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FC2CD-DD51-48FD-9D02-54045D9BE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2017-07-19T16:10:00Z</dcterms:created>
  <dcterms:modified xsi:type="dcterms:W3CDTF">2017-10-19T12:58:00Z</dcterms:modified>
</cp:coreProperties>
</file>