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48C" w:rsidRPr="002A1439" w:rsidRDefault="003B3F51" w:rsidP="003D3CB1">
      <w:pPr>
        <w:pStyle w:val="Default"/>
        <w:spacing w:line="276" w:lineRule="auto"/>
        <w:jc w:val="center"/>
        <w:rPr>
          <w:rFonts w:asciiTheme="majorBidi" w:hAnsiTheme="majorBidi" w:cstheme="majorBidi"/>
          <w:b/>
          <w:bCs/>
          <w:sz w:val="18"/>
          <w:szCs w:val="18"/>
          <w:lang w:val="fr-FR"/>
        </w:rPr>
      </w:pPr>
      <w:r w:rsidRPr="002A1439">
        <w:rPr>
          <w:rFonts w:asciiTheme="majorBidi" w:hAnsiTheme="majorBidi" w:cstheme="majorBidi"/>
          <w:b/>
          <w:bCs/>
          <w:sz w:val="18"/>
          <w:szCs w:val="18"/>
          <w:lang w:val="fr-FR"/>
        </w:rPr>
        <w:t>EVALUAT</w:t>
      </w:r>
      <w:r w:rsidR="0007351F" w:rsidRPr="002A1439">
        <w:rPr>
          <w:rFonts w:asciiTheme="majorBidi" w:hAnsiTheme="majorBidi" w:cstheme="majorBidi"/>
          <w:b/>
          <w:bCs/>
          <w:sz w:val="18"/>
          <w:szCs w:val="18"/>
          <w:lang w:val="fr-FR"/>
        </w:rPr>
        <w:t>ION DE L’IMPACT</w:t>
      </w:r>
      <w:r w:rsidRPr="002A1439">
        <w:rPr>
          <w:rFonts w:asciiTheme="majorBidi" w:hAnsiTheme="majorBidi" w:cstheme="majorBidi"/>
          <w:b/>
          <w:bCs/>
          <w:sz w:val="18"/>
          <w:szCs w:val="18"/>
          <w:lang w:val="fr-FR"/>
        </w:rPr>
        <w:t xml:space="preserve"> DE STOCKAGE SUR LA STABILITÉ ET L’ACTIVITÉ </w:t>
      </w:r>
      <w:r w:rsidR="003D3CB1" w:rsidRPr="002A1439">
        <w:rPr>
          <w:rFonts w:asciiTheme="majorBidi" w:hAnsiTheme="majorBidi" w:cstheme="majorBidi"/>
          <w:b/>
          <w:bCs/>
          <w:sz w:val="18"/>
          <w:szCs w:val="18"/>
          <w:lang w:val="fr-FR"/>
        </w:rPr>
        <w:t xml:space="preserve">BIOCIDE DES HUILES ESSENTIELLES </w:t>
      </w:r>
      <w:r w:rsidRPr="002A1439">
        <w:rPr>
          <w:rFonts w:asciiTheme="majorBidi" w:hAnsiTheme="majorBidi" w:cstheme="majorBidi"/>
          <w:b/>
          <w:bCs/>
          <w:sz w:val="18"/>
          <w:szCs w:val="18"/>
          <w:lang w:val="fr-FR"/>
        </w:rPr>
        <w:t>FORMULÉES.</w:t>
      </w:r>
      <w:r w:rsidR="003D3CB1" w:rsidRPr="002A1439">
        <w:rPr>
          <w:rFonts w:asciiTheme="majorBidi" w:hAnsiTheme="majorBidi" w:cstheme="majorBidi"/>
          <w:b/>
          <w:bCs/>
          <w:sz w:val="18"/>
          <w:szCs w:val="18"/>
          <w:lang w:val="fr-FR"/>
        </w:rPr>
        <w:t xml:space="preserve"> </w:t>
      </w:r>
      <w:r w:rsidRPr="002A1439">
        <w:rPr>
          <w:rFonts w:asciiTheme="majorBidi" w:hAnsiTheme="majorBidi" w:cstheme="majorBidi"/>
          <w:b/>
          <w:bCs/>
          <w:sz w:val="18"/>
          <w:szCs w:val="18"/>
          <w:lang w:val="fr-FR"/>
        </w:rPr>
        <w:t xml:space="preserve">CAS DE </w:t>
      </w:r>
      <w:r w:rsidRPr="002A1439">
        <w:rPr>
          <w:rFonts w:asciiTheme="majorBidi" w:hAnsiTheme="majorBidi" w:cstheme="majorBidi"/>
          <w:b/>
          <w:bCs/>
          <w:i/>
          <w:iCs/>
          <w:sz w:val="18"/>
          <w:szCs w:val="18"/>
          <w:lang w:val="fr-FR"/>
        </w:rPr>
        <w:t>TRIBOLIUM CASTANEUM(</w:t>
      </w:r>
      <w:r w:rsidRPr="002A1439">
        <w:rPr>
          <w:rFonts w:asciiTheme="majorBidi" w:hAnsiTheme="majorBidi" w:cstheme="majorBidi"/>
          <w:b/>
          <w:bCs/>
          <w:sz w:val="18"/>
          <w:szCs w:val="18"/>
          <w:lang w:val="fr-FR"/>
        </w:rPr>
        <w:t>HERBST</w:t>
      </w:r>
      <w:r w:rsidRPr="002A1439">
        <w:rPr>
          <w:rFonts w:asciiTheme="majorBidi" w:hAnsiTheme="majorBidi" w:cstheme="majorBidi"/>
          <w:b/>
          <w:bCs/>
          <w:i/>
          <w:iCs/>
          <w:sz w:val="18"/>
          <w:szCs w:val="18"/>
          <w:lang w:val="fr-FR"/>
        </w:rPr>
        <w:t xml:space="preserve">) </w:t>
      </w:r>
      <w:r w:rsidRPr="002A1439">
        <w:rPr>
          <w:rFonts w:asciiTheme="majorBidi" w:hAnsiTheme="majorBidi" w:cstheme="majorBidi"/>
          <w:b/>
          <w:bCs/>
          <w:sz w:val="18"/>
          <w:szCs w:val="18"/>
          <w:lang w:val="fr-FR"/>
        </w:rPr>
        <w:t>(INSECTA, TENEBRIONIDAE).</w:t>
      </w:r>
    </w:p>
    <w:p w:rsidR="00D8348C" w:rsidRPr="0059544A" w:rsidRDefault="00D8348C" w:rsidP="00D8348C">
      <w:pPr>
        <w:spacing w:after="0" w:line="276" w:lineRule="auto"/>
        <w:jc w:val="center"/>
        <w:rPr>
          <w:rFonts w:asciiTheme="majorBidi" w:hAnsiTheme="majorBidi" w:cstheme="majorBidi"/>
          <w:b/>
          <w:bCs/>
          <w:sz w:val="28"/>
          <w:szCs w:val="28"/>
          <w:lang w:val="fr-FR"/>
        </w:rPr>
      </w:pPr>
    </w:p>
    <w:p w:rsidR="00D8348C" w:rsidRPr="0007351F" w:rsidRDefault="00D8348C" w:rsidP="00D8348C">
      <w:pPr>
        <w:pStyle w:val="Default"/>
        <w:jc w:val="center"/>
        <w:outlineLvl w:val="0"/>
        <w:rPr>
          <w:rFonts w:asciiTheme="majorBidi" w:hAnsiTheme="majorBidi" w:cstheme="majorBidi"/>
          <w:b/>
          <w:sz w:val="22"/>
          <w:szCs w:val="22"/>
          <w:lang w:val="fr-FR"/>
        </w:rPr>
      </w:pPr>
      <w:r w:rsidRPr="0007351F">
        <w:rPr>
          <w:rFonts w:asciiTheme="majorBidi" w:hAnsiTheme="majorBidi" w:cstheme="majorBidi"/>
          <w:b/>
          <w:sz w:val="22"/>
          <w:szCs w:val="22"/>
          <w:u w:val="single"/>
          <w:lang w:val="fr-FR"/>
        </w:rPr>
        <w:t>OUCHAI  Malika</w:t>
      </w:r>
      <w:r w:rsidR="00FA5F5C" w:rsidRPr="0007351F">
        <w:rPr>
          <w:rFonts w:asciiTheme="majorBidi" w:hAnsiTheme="majorBidi" w:cstheme="majorBidi"/>
          <w:b/>
          <w:sz w:val="22"/>
          <w:szCs w:val="22"/>
          <w:lang w:val="fr-FR"/>
        </w:rPr>
        <w:t>¹, MOUSSAOUI  K</w:t>
      </w:r>
      <w:r w:rsidRPr="0007351F">
        <w:rPr>
          <w:rFonts w:asciiTheme="majorBidi" w:hAnsiTheme="majorBidi" w:cstheme="majorBidi"/>
          <w:b/>
          <w:sz w:val="22"/>
          <w:szCs w:val="22"/>
          <w:lang w:val="fr-FR"/>
        </w:rPr>
        <w:t>²&amp; DJAZOULLI  Z E³.</w:t>
      </w:r>
    </w:p>
    <w:p w:rsidR="00D8348C" w:rsidRPr="0007351F" w:rsidRDefault="00D8348C" w:rsidP="0007351F">
      <w:pPr>
        <w:pStyle w:val="Default"/>
        <w:jc w:val="center"/>
        <w:outlineLvl w:val="0"/>
        <w:rPr>
          <w:rFonts w:asciiTheme="majorBidi" w:hAnsiTheme="majorBidi" w:cstheme="majorBidi"/>
          <w:b/>
          <w:i/>
          <w:iCs/>
          <w:sz w:val="22"/>
          <w:szCs w:val="22"/>
          <w:lang w:val="fr-FR"/>
        </w:rPr>
      </w:pPr>
      <w:r w:rsidRPr="0007351F">
        <w:rPr>
          <w:rFonts w:asciiTheme="majorBidi" w:hAnsiTheme="majorBidi" w:cstheme="majorBidi"/>
          <w:i/>
          <w:iCs/>
          <w:sz w:val="22"/>
          <w:szCs w:val="22"/>
          <w:lang w:val="fr-FR"/>
        </w:rPr>
        <w:t xml:space="preserve">(¹)Ecole nationale supérieure d’agronomie ENSA </w:t>
      </w:r>
      <w:proofErr w:type="spellStart"/>
      <w:r w:rsidRPr="0007351F">
        <w:rPr>
          <w:rFonts w:asciiTheme="majorBidi" w:hAnsiTheme="majorBidi" w:cstheme="majorBidi"/>
          <w:i/>
          <w:iCs/>
          <w:sz w:val="22"/>
          <w:szCs w:val="22"/>
          <w:lang w:val="fr-FR"/>
        </w:rPr>
        <w:t>El-harrach</w:t>
      </w:r>
      <w:proofErr w:type="spellEnd"/>
      <w:r w:rsidRPr="0007351F">
        <w:rPr>
          <w:rFonts w:asciiTheme="majorBidi" w:hAnsiTheme="majorBidi" w:cstheme="majorBidi"/>
          <w:i/>
          <w:iCs/>
          <w:sz w:val="22"/>
          <w:szCs w:val="22"/>
          <w:lang w:val="fr-FR"/>
        </w:rPr>
        <w:t xml:space="preserve"> Alger(</w:t>
      </w:r>
      <w:proofErr w:type="spellStart"/>
      <w:r w:rsidRPr="0007351F">
        <w:rPr>
          <w:rFonts w:asciiTheme="majorBidi" w:hAnsiTheme="majorBidi" w:cstheme="majorBidi"/>
          <w:i/>
          <w:iCs/>
          <w:sz w:val="22"/>
          <w:szCs w:val="22"/>
          <w:lang w:val="fr-FR"/>
        </w:rPr>
        <w:t>Algerie</w:t>
      </w:r>
      <w:proofErr w:type="spellEnd"/>
      <w:r w:rsidRPr="0007351F">
        <w:rPr>
          <w:rFonts w:asciiTheme="majorBidi" w:hAnsiTheme="majorBidi" w:cstheme="majorBidi"/>
          <w:i/>
          <w:iCs/>
          <w:sz w:val="22"/>
          <w:szCs w:val="22"/>
          <w:lang w:val="fr-FR"/>
        </w:rPr>
        <w:t>),</w:t>
      </w:r>
      <w:r w:rsidR="0007351F">
        <w:rPr>
          <w:rFonts w:asciiTheme="majorBidi" w:hAnsiTheme="majorBidi" w:cstheme="majorBidi"/>
          <w:i/>
          <w:iCs/>
          <w:sz w:val="22"/>
          <w:szCs w:val="22"/>
          <w:lang w:val="fr-FR"/>
        </w:rPr>
        <w:t>m.ouchai@ensa.dz</w:t>
      </w:r>
      <w:r w:rsidRPr="0007351F">
        <w:rPr>
          <w:rFonts w:asciiTheme="majorBidi" w:hAnsiTheme="majorBidi" w:cstheme="majorBidi"/>
          <w:i/>
          <w:iCs/>
          <w:sz w:val="22"/>
          <w:szCs w:val="22"/>
          <w:lang w:val="fr-FR"/>
        </w:rPr>
        <w:t>. (²) Kamelmoussa@Aol.fr.(³)</w:t>
      </w:r>
      <w:proofErr w:type="gramStart"/>
      <w:r w:rsidR="0007351F">
        <w:rPr>
          <w:rStyle w:val="ac-value"/>
          <w:rFonts w:asciiTheme="majorBidi" w:hAnsiTheme="majorBidi" w:cstheme="majorBidi"/>
          <w:i/>
          <w:iCs/>
          <w:sz w:val="22"/>
          <w:szCs w:val="22"/>
          <w:lang w:val="fr-FR"/>
        </w:rPr>
        <w:t>zahro2002@gmail</w:t>
      </w:r>
      <w:r w:rsidRPr="0007351F">
        <w:rPr>
          <w:rStyle w:val="ac-value"/>
          <w:rFonts w:asciiTheme="majorBidi" w:hAnsiTheme="majorBidi" w:cstheme="majorBidi"/>
          <w:i/>
          <w:iCs/>
          <w:sz w:val="22"/>
          <w:szCs w:val="22"/>
          <w:lang w:val="fr-FR"/>
        </w:rPr>
        <w:t>.</w:t>
      </w:r>
      <w:r w:rsidR="0007351F">
        <w:rPr>
          <w:rStyle w:val="ac-value"/>
          <w:rFonts w:asciiTheme="majorBidi" w:hAnsiTheme="majorBidi" w:cstheme="majorBidi"/>
          <w:i/>
          <w:iCs/>
          <w:sz w:val="22"/>
          <w:szCs w:val="22"/>
          <w:lang w:val="fr-FR"/>
        </w:rPr>
        <w:t>com</w:t>
      </w:r>
      <w:r w:rsidRPr="0007351F">
        <w:rPr>
          <w:rFonts w:asciiTheme="majorBidi" w:hAnsiTheme="majorBidi" w:cstheme="majorBidi"/>
          <w:i/>
          <w:iCs/>
          <w:sz w:val="22"/>
          <w:szCs w:val="22"/>
          <w:lang w:val="fr-FR"/>
        </w:rPr>
        <w:t xml:space="preserve"> </w:t>
      </w:r>
      <w:r w:rsidR="0007351F">
        <w:rPr>
          <w:rFonts w:asciiTheme="majorBidi" w:hAnsiTheme="majorBidi" w:cstheme="majorBidi"/>
          <w:i/>
          <w:iCs/>
          <w:sz w:val="22"/>
          <w:szCs w:val="22"/>
          <w:lang w:val="fr-FR"/>
        </w:rPr>
        <w:t>,</w:t>
      </w:r>
      <w:proofErr w:type="gramEnd"/>
      <w:r w:rsidRPr="0007351F">
        <w:rPr>
          <w:rFonts w:asciiTheme="majorBidi" w:hAnsiTheme="majorBidi" w:cstheme="majorBidi"/>
          <w:i/>
          <w:iCs/>
          <w:sz w:val="22"/>
          <w:szCs w:val="22"/>
          <w:lang w:val="fr-FR"/>
        </w:rPr>
        <w:t xml:space="preserve">Université SAAD </w:t>
      </w:r>
      <w:proofErr w:type="spellStart"/>
      <w:r w:rsidRPr="0007351F">
        <w:rPr>
          <w:rFonts w:asciiTheme="majorBidi" w:hAnsiTheme="majorBidi" w:cstheme="majorBidi"/>
          <w:i/>
          <w:iCs/>
          <w:sz w:val="22"/>
          <w:szCs w:val="22"/>
          <w:lang w:val="fr-FR"/>
        </w:rPr>
        <w:t>Dahleb</w:t>
      </w:r>
      <w:proofErr w:type="spellEnd"/>
      <w:r w:rsidRPr="0007351F">
        <w:rPr>
          <w:rFonts w:asciiTheme="majorBidi" w:hAnsiTheme="majorBidi" w:cstheme="majorBidi"/>
          <w:i/>
          <w:iCs/>
          <w:sz w:val="22"/>
          <w:szCs w:val="22"/>
          <w:lang w:val="fr-FR"/>
        </w:rPr>
        <w:t xml:space="preserve">, Faculté des Sciences Agronomiques, département d'Agronomie, BP 270, route de </w:t>
      </w:r>
      <w:proofErr w:type="spellStart"/>
      <w:r w:rsidRPr="0007351F">
        <w:rPr>
          <w:rFonts w:asciiTheme="majorBidi" w:hAnsiTheme="majorBidi" w:cstheme="majorBidi"/>
          <w:i/>
          <w:iCs/>
          <w:sz w:val="22"/>
          <w:szCs w:val="22"/>
          <w:lang w:val="fr-FR"/>
        </w:rPr>
        <w:t>Soumâa</w:t>
      </w:r>
      <w:proofErr w:type="spellEnd"/>
      <w:r w:rsidRPr="0007351F">
        <w:rPr>
          <w:rFonts w:asciiTheme="majorBidi" w:hAnsiTheme="majorBidi" w:cstheme="majorBidi"/>
          <w:i/>
          <w:iCs/>
          <w:sz w:val="22"/>
          <w:szCs w:val="22"/>
          <w:lang w:val="fr-FR"/>
        </w:rPr>
        <w:t>, Blida (Algérie).</w:t>
      </w:r>
    </w:p>
    <w:p w:rsidR="00D8348C" w:rsidRPr="00FA5F5C" w:rsidRDefault="00D8348C" w:rsidP="00D8348C">
      <w:pPr>
        <w:pStyle w:val="Default"/>
        <w:rPr>
          <w:rFonts w:asciiTheme="majorBidi" w:hAnsiTheme="majorBidi" w:cstheme="majorBidi"/>
          <w:i/>
          <w:iCs/>
          <w:lang w:val="fr-FR"/>
        </w:rPr>
      </w:pPr>
    </w:p>
    <w:p w:rsidR="00D8348C" w:rsidRDefault="00D8348C" w:rsidP="00D8348C">
      <w:pPr>
        <w:spacing w:after="0" w:line="240" w:lineRule="auto"/>
        <w:jc w:val="both"/>
        <w:rPr>
          <w:rFonts w:asciiTheme="majorBidi" w:hAnsiTheme="majorBidi" w:cstheme="majorBidi"/>
          <w:b/>
          <w:i w:val="0"/>
          <w:iCs w:val="0"/>
          <w:sz w:val="24"/>
          <w:szCs w:val="24"/>
          <w:lang w:val="fr-FR"/>
        </w:rPr>
      </w:pPr>
      <w:r w:rsidRPr="00B367C6">
        <w:rPr>
          <w:rFonts w:asciiTheme="majorBidi" w:hAnsiTheme="majorBidi" w:cstheme="majorBidi"/>
          <w:b/>
          <w:i w:val="0"/>
          <w:iCs w:val="0"/>
          <w:sz w:val="24"/>
          <w:szCs w:val="24"/>
          <w:lang w:val="fr-FR"/>
        </w:rPr>
        <w:t>Résumé</w:t>
      </w:r>
    </w:p>
    <w:p w:rsidR="00D8348C" w:rsidRPr="001766B5" w:rsidRDefault="001766B5" w:rsidP="001766B5">
      <w:pPr>
        <w:autoSpaceDE w:val="0"/>
        <w:autoSpaceDN w:val="0"/>
        <w:adjustRightInd w:val="0"/>
        <w:spacing w:after="0" w:line="240" w:lineRule="auto"/>
        <w:jc w:val="both"/>
        <w:rPr>
          <w:rFonts w:cstheme="minorHAnsi"/>
          <w:i w:val="0"/>
          <w:iCs w:val="0"/>
          <w:lang w:val="fr-FR"/>
        </w:rPr>
      </w:pPr>
      <w:r w:rsidRPr="001766B5">
        <w:rPr>
          <w:rFonts w:cstheme="minorHAnsi"/>
          <w:lang w:val="fr-FR"/>
        </w:rPr>
        <w:t>Les insectes ravageurs des denrées, majoritairement des Coléoptères peuvent causer la perte totale d’un stock.</w:t>
      </w:r>
      <w:r w:rsidR="0007351F">
        <w:rPr>
          <w:rFonts w:cstheme="minorHAnsi"/>
          <w:lang w:val="fr-FR"/>
        </w:rPr>
        <w:t xml:space="preserve"> </w:t>
      </w:r>
      <w:r w:rsidR="00D8348C" w:rsidRPr="001766B5">
        <w:rPr>
          <w:rFonts w:cstheme="minorHAnsi"/>
          <w:i w:val="0"/>
          <w:iCs w:val="0"/>
          <w:lang w:val="fr-FR"/>
        </w:rPr>
        <w:t xml:space="preserve">Les agents incriminés sont les ravageurs primaires tel que </w:t>
      </w:r>
      <w:proofErr w:type="spellStart"/>
      <w:r w:rsidR="00D8348C" w:rsidRPr="001766B5">
        <w:rPr>
          <w:rFonts w:cstheme="minorHAnsi"/>
          <w:lang w:val="fr-FR"/>
        </w:rPr>
        <w:t>Sitophilus</w:t>
      </w:r>
      <w:proofErr w:type="spellEnd"/>
      <w:r w:rsidR="00D8348C" w:rsidRPr="001766B5">
        <w:rPr>
          <w:rFonts w:cstheme="minorHAnsi"/>
          <w:lang w:val="fr-FR"/>
        </w:rPr>
        <w:t xml:space="preserve"> </w:t>
      </w:r>
      <w:proofErr w:type="spellStart"/>
      <w:r w:rsidR="00D8348C" w:rsidRPr="001766B5">
        <w:rPr>
          <w:rFonts w:cstheme="minorHAnsi"/>
          <w:lang w:val="fr-FR"/>
        </w:rPr>
        <w:t>oryzae</w:t>
      </w:r>
      <w:proofErr w:type="spellEnd"/>
      <w:r w:rsidR="00D8348C" w:rsidRPr="001766B5">
        <w:rPr>
          <w:rFonts w:cstheme="minorHAnsi"/>
          <w:lang w:val="fr-FR"/>
        </w:rPr>
        <w:t xml:space="preserve"> </w:t>
      </w:r>
      <w:r w:rsidR="00D8348C" w:rsidRPr="001766B5">
        <w:rPr>
          <w:rFonts w:cstheme="minorHAnsi"/>
          <w:i w:val="0"/>
          <w:iCs w:val="0"/>
          <w:lang w:val="fr-FR"/>
        </w:rPr>
        <w:t>et les ravageurs secondaires entre autre (</w:t>
      </w:r>
      <w:proofErr w:type="spellStart"/>
      <w:r w:rsidR="00D8348C" w:rsidRPr="001766B5">
        <w:rPr>
          <w:rFonts w:cstheme="minorHAnsi"/>
          <w:lang w:val="fr-FR"/>
        </w:rPr>
        <w:t>Tribolium</w:t>
      </w:r>
      <w:proofErr w:type="spellEnd"/>
      <w:r w:rsidR="00D8348C" w:rsidRPr="001766B5">
        <w:rPr>
          <w:rFonts w:cstheme="minorHAnsi"/>
          <w:lang w:val="fr-FR"/>
        </w:rPr>
        <w:t xml:space="preserve"> .</w:t>
      </w:r>
      <w:proofErr w:type="spellStart"/>
      <w:r w:rsidR="00D8348C" w:rsidRPr="001766B5">
        <w:rPr>
          <w:rFonts w:cstheme="minorHAnsi"/>
          <w:lang w:val="fr-FR"/>
        </w:rPr>
        <w:t>sp</w:t>
      </w:r>
      <w:proofErr w:type="spellEnd"/>
      <w:r w:rsidR="00D8348C" w:rsidRPr="001766B5">
        <w:rPr>
          <w:rFonts w:cstheme="minorHAnsi"/>
          <w:lang w:val="fr-FR"/>
        </w:rPr>
        <w:t>).</w:t>
      </w:r>
      <w:r w:rsidR="00D8348C" w:rsidRPr="001766B5">
        <w:rPr>
          <w:rFonts w:cstheme="minorHAnsi"/>
          <w:i w:val="0"/>
          <w:iCs w:val="0"/>
          <w:lang w:val="fr-FR"/>
        </w:rPr>
        <w:t xml:space="preserve"> </w:t>
      </w:r>
      <w:r w:rsidRPr="001766B5">
        <w:rPr>
          <w:rFonts w:cstheme="minorHAnsi"/>
          <w:lang w:val="fr-FR"/>
        </w:rPr>
        <w:t>Le moyen le plus courant pour limiter leurs activités est l’usage des pesticides dont les effets indésirables sont malheureusement très nombreux. L’intoxication humaine en est une principale. Au cours des deux dernières décennies, de nombreux travaux ont été menés dans le but de rechercher des méthodes de protection des denrées plus douces, respectueuses de la santé humaine et de l’environnement.</w:t>
      </w:r>
      <w:r>
        <w:rPr>
          <w:rFonts w:cstheme="minorHAnsi"/>
          <w:lang w:val="fr-FR"/>
        </w:rPr>
        <w:t xml:space="preserve"> </w:t>
      </w:r>
      <w:r w:rsidRPr="001766B5">
        <w:rPr>
          <w:rFonts w:cstheme="minorHAnsi"/>
          <w:lang w:val="fr-FR"/>
        </w:rPr>
        <w:t>La recherche des méthodes alternatives de protection est le but de notre travail</w:t>
      </w:r>
      <w:r w:rsidRPr="001766B5">
        <w:rPr>
          <w:rFonts w:cstheme="minorHAnsi"/>
          <w:i w:val="0"/>
          <w:iCs w:val="0"/>
          <w:lang w:val="fr-FR"/>
        </w:rPr>
        <w:t xml:space="preserve"> </w:t>
      </w:r>
      <w:r w:rsidR="00D8348C" w:rsidRPr="001766B5">
        <w:rPr>
          <w:rFonts w:cstheme="minorHAnsi"/>
          <w:i w:val="0"/>
          <w:iCs w:val="0"/>
          <w:lang w:val="fr-FR"/>
        </w:rPr>
        <w:t xml:space="preserve">porté sur l’évaluation de l’effet biocide des l’huiles essentielles formulées du thym et celui d’agrume, contre les adultes de </w:t>
      </w:r>
      <w:proofErr w:type="spellStart"/>
      <w:r w:rsidR="00D8348C" w:rsidRPr="001766B5">
        <w:rPr>
          <w:rFonts w:cstheme="minorHAnsi"/>
          <w:lang w:val="fr-FR"/>
        </w:rPr>
        <w:t>Tribolium</w:t>
      </w:r>
      <w:proofErr w:type="spellEnd"/>
      <w:r w:rsidR="00D8348C" w:rsidRPr="001766B5">
        <w:rPr>
          <w:rFonts w:cstheme="minorHAnsi"/>
          <w:i w:val="0"/>
          <w:iCs w:val="0"/>
          <w:lang w:val="fr-FR"/>
        </w:rPr>
        <w:t xml:space="preserve"> rouge de la farine </w:t>
      </w:r>
      <w:r w:rsidR="00D8348C" w:rsidRPr="001766B5">
        <w:rPr>
          <w:rFonts w:cstheme="minorHAnsi"/>
          <w:lang w:val="fr-FR"/>
        </w:rPr>
        <w:t>(</w:t>
      </w:r>
      <w:proofErr w:type="spellStart"/>
      <w:r w:rsidR="00D8348C" w:rsidRPr="001766B5">
        <w:rPr>
          <w:rFonts w:cstheme="minorHAnsi"/>
          <w:lang w:val="fr-FR"/>
        </w:rPr>
        <w:t>Tribolium</w:t>
      </w:r>
      <w:proofErr w:type="spellEnd"/>
      <w:r w:rsidR="00D8348C" w:rsidRPr="001766B5">
        <w:rPr>
          <w:rFonts w:cstheme="minorHAnsi"/>
          <w:lang w:val="fr-FR"/>
        </w:rPr>
        <w:t xml:space="preserve"> </w:t>
      </w:r>
      <w:proofErr w:type="spellStart"/>
      <w:r w:rsidR="00D8348C" w:rsidRPr="001766B5">
        <w:rPr>
          <w:rFonts w:cstheme="minorHAnsi"/>
          <w:lang w:val="fr-FR"/>
        </w:rPr>
        <w:t>castaneum</w:t>
      </w:r>
      <w:proofErr w:type="spellEnd"/>
      <w:r w:rsidR="00D8348C" w:rsidRPr="001766B5">
        <w:rPr>
          <w:rFonts w:cstheme="minorHAnsi"/>
          <w:lang w:val="fr-FR"/>
        </w:rPr>
        <w:t>)</w:t>
      </w:r>
      <w:r w:rsidR="00D8348C" w:rsidRPr="001766B5">
        <w:rPr>
          <w:rFonts w:cstheme="minorHAnsi"/>
          <w:i w:val="0"/>
          <w:iCs w:val="0"/>
          <w:lang w:val="fr-FR"/>
        </w:rPr>
        <w:t xml:space="preserve"> sous différents régimes thermiques. Les résultats </w:t>
      </w:r>
      <w:r w:rsidR="00FA5F5C" w:rsidRPr="001766B5">
        <w:rPr>
          <w:rFonts w:cstheme="minorHAnsi"/>
          <w:i w:val="0"/>
          <w:iCs w:val="0"/>
          <w:lang w:val="fr-FR"/>
        </w:rPr>
        <w:t>obtenus</w:t>
      </w:r>
      <w:r w:rsidR="00D8348C" w:rsidRPr="001766B5">
        <w:rPr>
          <w:rFonts w:cstheme="minorHAnsi"/>
          <w:i w:val="0"/>
          <w:iCs w:val="0"/>
          <w:lang w:val="fr-FR"/>
        </w:rPr>
        <w:t xml:space="preserve"> (fig.1) montrent que les différentes molécules formulées ont un effet tardif (12h-14h-16h-18h)</w:t>
      </w:r>
      <w:r>
        <w:rPr>
          <w:rFonts w:cstheme="minorHAnsi"/>
          <w:i w:val="0"/>
          <w:iCs w:val="0"/>
          <w:lang w:val="fr-FR"/>
        </w:rPr>
        <w:t xml:space="preserve"> </w:t>
      </w:r>
      <w:r w:rsidR="00D8348C" w:rsidRPr="001766B5">
        <w:rPr>
          <w:rFonts w:cstheme="minorHAnsi"/>
          <w:i w:val="0"/>
          <w:iCs w:val="0"/>
          <w:lang w:val="fr-FR"/>
        </w:rPr>
        <w:t xml:space="preserve">sur les populations de </w:t>
      </w:r>
      <w:proofErr w:type="spellStart"/>
      <w:r w:rsidR="00D8348C" w:rsidRPr="001766B5">
        <w:rPr>
          <w:rFonts w:cstheme="minorHAnsi"/>
          <w:lang w:val="fr-FR"/>
        </w:rPr>
        <w:t>Tribolium</w:t>
      </w:r>
      <w:proofErr w:type="spellEnd"/>
      <w:r w:rsidR="00D8348C" w:rsidRPr="001766B5">
        <w:rPr>
          <w:rFonts w:cstheme="minorHAnsi"/>
          <w:lang w:val="fr-FR"/>
        </w:rPr>
        <w:t xml:space="preserve"> </w:t>
      </w:r>
      <w:proofErr w:type="spellStart"/>
      <w:r w:rsidR="00D8348C" w:rsidRPr="001766B5">
        <w:rPr>
          <w:rFonts w:cstheme="minorHAnsi"/>
          <w:lang w:val="fr-FR"/>
        </w:rPr>
        <w:t>castaneum</w:t>
      </w:r>
      <w:proofErr w:type="spellEnd"/>
      <w:r w:rsidR="00D8348C" w:rsidRPr="001766B5">
        <w:rPr>
          <w:rFonts w:cstheme="minorHAnsi"/>
          <w:i w:val="0"/>
          <w:iCs w:val="0"/>
          <w:lang w:val="fr-FR"/>
        </w:rPr>
        <w:t xml:space="preserve"> à une température de stockage de 20°C. Les mêmes résultats montrent un effet marquant précoce du thymol et </w:t>
      </w:r>
      <w:proofErr w:type="spellStart"/>
      <w:r w:rsidR="00D8348C" w:rsidRPr="001766B5">
        <w:rPr>
          <w:rFonts w:cstheme="minorHAnsi"/>
          <w:i w:val="0"/>
          <w:iCs w:val="0"/>
          <w:lang w:val="fr-FR"/>
        </w:rPr>
        <w:t>carvacrol</w:t>
      </w:r>
      <w:proofErr w:type="spellEnd"/>
      <w:r w:rsidR="00D8348C" w:rsidRPr="001766B5">
        <w:rPr>
          <w:rFonts w:cstheme="minorHAnsi"/>
          <w:i w:val="0"/>
          <w:iCs w:val="0"/>
          <w:lang w:val="fr-FR"/>
        </w:rPr>
        <w:t xml:space="preserve"> par rapport au limonène (fig.2). La toxicité du thymol et le </w:t>
      </w:r>
      <w:proofErr w:type="spellStart"/>
      <w:r w:rsidR="00D8348C" w:rsidRPr="001766B5">
        <w:rPr>
          <w:rFonts w:cstheme="minorHAnsi"/>
          <w:i w:val="0"/>
          <w:iCs w:val="0"/>
          <w:lang w:val="fr-FR"/>
        </w:rPr>
        <w:t>carvacrol</w:t>
      </w:r>
      <w:proofErr w:type="spellEnd"/>
      <w:r w:rsidR="00D8348C" w:rsidRPr="001766B5">
        <w:rPr>
          <w:rFonts w:cstheme="minorHAnsi"/>
          <w:i w:val="0"/>
          <w:iCs w:val="0"/>
          <w:lang w:val="fr-FR"/>
        </w:rPr>
        <w:t xml:space="preserve"> se distingue du limonène dés 12h et exercent un effet mortel très remarquable alors que le limonène n’exprime sa toxicité qu’a partir de 14h. Sous températures 20°C et 25°C, le thymol à montré un degré d’efficacité plus important suivi par le </w:t>
      </w:r>
      <w:proofErr w:type="spellStart"/>
      <w:r w:rsidR="00D8348C" w:rsidRPr="001766B5">
        <w:rPr>
          <w:rFonts w:cstheme="minorHAnsi"/>
          <w:i w:val="0"/>
          <w:iCs w:val="0"/>
          <w:lang w:val="fr-FR"/>
        </w:rPr>
        <w:t>carvacrol</w:t>
      </w:r>
      <w:proofErr w:type="spellEnd"/>
      <w:r w:rsidR="00D8348C" w:rsidRPr="001766B5">
        <w:rPr>
          <w:rFonts w:cstheme="minorHAnsi"/>
          <w:i w:val="0"/>
          <w:iCs w:val="0"/>
          <w:lang w:val="fr-FR"/>
        </w:rPr>
        <w:t xml:space="preserve"> puis le limonène qui présente une efficacité faible. En revanche à 28°C, le </w:t>
      </w:r>
      <w:proofErr w:type="spellStart"/>
      <w:r w:rsidR="00D8348C" w:rsidRPr="001766B5">
        <w:rPr>
          <w:rFonts w:cstheme="minorHAnsi"/>
          <w:i w:val="0"/>
          <w:iCs w:val="0"/>
          <w:lang w:val="fr-FR"/>
        </w:rPr>
        <w:t>carvacrol</w:t>
      </w:r>
      <w:proofErr w:type="spellEnd"/>
      <w:r w:rsidR="00D8348C" w:rsidRPr="001766B5">
        <w:rPr>
          <w:rFonts w:cstheme="minorHAnsi"/>
          <w:i w:val="0"/>
          <w:iCs w:val="0"/>
          <w:lang w:val="fr-FR"/>
        </w:rPr>
        <w:t xml:space="preserve"> exprime  un effet biocide  très appréciable par rapport aux deux autres formulations thymol et Limonène. (fig.4).</w:t>
      </w:r>
    </w:p>
    <w:p w:rsidR="003B3F51" w:rsidRPr="001766B5" w:rsidRDefault="00D8348C" w:rsidP="0007351F">
      <w:pPr>
        <w:spacing w:after="0" w:line="276" w:lineRule="auto"/>
        <w:jc w:val="both"/>
        <w:rPr>
          <w:rFonts w:cstheme="minorHAnsi"/>
          <w:lang w:val="fr-FR"/>
        </w:rPr>
      </w:pPr>
      <w:r w:rsidRPr="001766B5">
        <w:rPr>
          <w:rFonts w:cstheme="minorHAnsi"/>
          <w:b/>
          <w:bCs/>
          <w:i w:val="0"/>
          <w:iCs w:val="0"/>
          <w:lang w:val="fr-FR"/>
        </w:rPr>
        <w:t xml:space="preserve">Mots clés : </w:t>
      </w:r>
      <w:r w:rsidRPr="001766B5">
        <w:rPr>
          <w:rFonts w:cstheme="minorHAnsi"/>
          <w:lang w:val="fr-FR"/>
        </w:rPr>
        <w:t xml:space="preserve">Thymus </w:t>
      </w:r>
      <w:proofErr w:type="spellStart"/>
      <w:r w:rsidRPr="001766B5">
        <w:rPr>
          <w:rFonts w:cstheme="minorHAnsi"/>
          <w:lang w:val="fr-FR"/>
        </w:rPr>
        <w:t>fontanesii</w:t>
      </w:r>
      <w:proofErr w:type="spellEnd"/>
      <w:r w:rsidRPr="001766B5">
        <w:rPr>
          <w:rFonts w:cstheme="minorHAnsi"/>
          <w:lang w:val="fr-FR"/>
        </w:rPr>
        <w:t xml:space="preserve">, </w:t>
      </w:r>
      <w:r w:rsidRPr="001766B5">
        <w:rPr>
          <w:rFonts w:cstheme="minorHAnsi"/>
          <w:i w:val="0"/>
          <w:iCs w:val="0"/>
          <w:lang w:val="fr-FR"/>
        </w:rPr>
        <w:t xml:space="preserve">bio-activité, </w:t>
      </w:r>
      <w:r w:rsidRPr="001766B5">
        <w:rPr>
          <w:rFonts w:eastAsia="Times New Roman" w:cstheme="minorHAnsi"/>
          <w:i w:val="0"/>
          <w:iCs w:val="0"/>
          <w:lang w:val="fr-FR" w:eastAsia="fr-FR"/>
        </w:rPr>
        <w:t>formulation</w:t>
      </w:r>
      <w:r w:rsidR="003D3CB1" w:rsidRPr="001766B5">
        <w:rPr>
          <w:rFonts w:cstheme="minorHAnsi"/>
          <w:i w:val="0"/>
          <w:iCs w:val="0"/>
          <w:lang w:val="fr-FR"/>
        </w:rPr>
        <w:t xml:space="preserve"> des huiles essentielles</w:t>
      </w:r>
      <w:r w:rsidRPr="001766B5">
        <w:rPr>
          <w:rFonts w:cstheme="minorHAnsi"/>
          <w:i w:val="0"/>
          <w:iCs w:val="0"/>
          <w:lang w:val="fr-FR"/>
        </w:rPr>
        <w:t>,</w:t>
      </w:r>
      <w:r w:rsidR="0007351F">
        <w:rPr>
          <w:rFonts w:cstheme="minorHAnsi"/>
          <w:i w:val="0"/>
          <w:iCs w:val="0"/>
          <w:lang w:val="fr-FR"/>
        </w:rPr>
        <w:t xml:space="preserve"> </w:t>
      </w:r>
      <w:proofErr w:type="spellStart"/>
      <w:r w:rsidRPr="001766B5">
        <w:rPr>
          <w:rFonts w:cstheme="minorHAnsi"/>
          <w:lang w:val="fr-FR"/>
        </w:rPr>
        <w:t>Tribolium</w:t>
      </w:r>
      <w:proofErr w:type="spellEnd"/>
      <w:r w:rsidRPr="001766B5">
        <w:rPr>
          <w:rFonts w:cstheme="minorHAnsi"/>
          <w:lang w:val="fr-FR"/>
        </w:rPr>
        <w:t xml:space="preserve"> </w:t>
      </w:r>
      <w:proofErr w:type="spellStart"/>
      <w:r w:rsidRPr="001766B5">
        <w:rPr>
          <w:rFonts w:cstheme="minorHAnsi"/>
          <w:lang w:val="fr-FR"/>
        </w:rPr>
        <w:t>castaneum</w:t>
      </w:r>
      <w:proofErr w:type="spellEnd"/>
      <w:r w:rsidR="0007351F">
        <w:rPr>
          <w:rFonts w:cstheme="minorHAnsi"/>
          <w:lang w:val="fr-FR"/>
        </w:rPr>
        <w:t>,</w:t>
      </w:r>
      <w:r w:rsidR="0007351F" w:rsidRPr="0007351F">
        <w:rPr>
          <w:rFonts w:cstheme="minorHAnsi"/>
          <w:lang w:val="fr-FR"/>
        </w:rPr>
        <w:t xml:space="preserve"> </w:t>
      </w:r>
      <w:r w:rsidR="0007351F" w:rsidRPr="001766B5">
        <w:rPr>
          <w:rFonts w:cstheme="minorHAnsi"/>
          <w:lang w:val="fr-FR"/>
        </w:rPr>
        <w:t>méthodes de protection</w:t>
      </w:r>
      <w:r w:rsidRPr="001766B5">
        <w:rPr>
          <w:rFonts w:cstheme="minorHAnsi"/>
          <w:lang w:val="fr-FR"/>
        </w:rPr>
        <w:t>.</w:t>
      </w:r>
    </w:p>
    <w:p w:rsidR="003B3F51" w:rsidRDefault="003B3F51" w:rsidP="00D8348C">
      <w:pPr>
        <w:spacing w:after="0" w:line="360" w:lineRule="auto"/>
        <w:jc w:val="both"/>
        <w:rPr>
          <w:rFonts w:asciiTheme="majorBidi" w:hAnsiTheme="majorBidi" w:cstheme="majorBidi"/>
          <w:sz w:val="24"/>
          <w:szCs w:val="24"/>
          <w:lang w:val="fr-FR"/>
        </w:rPr>
      </w:pPr>
    </w:p>
    <w:p w:rsidR="003B3F51" w:rsidRDefault="003B3F51" w:rsidP="003B3F51">
      <w:pPr>
        <w:spacing w:after="0" w:line="276" w:lineRule="auto"/>
        <w:jc w:val="center"/>
        <w:rPr>
          <w:rFonts w:asciiTheme="majorBidi" w:hAnsiTheme="majorBidi" w:cstheme="majorBidi"/>
          <w:b/>
          <w:bCs/>
          <w:sz w:val="28"/>
          <w:szCs w:val="28"/>
        </w:rPr>
      </w:pPr>
      <w:r w:rsidRPr="00C912AC">
        <w:rPr>
          <w:rFonts w:asciiTheme="majorBidi" w:hAnsiTheme="majorBidi" w:cstheme="majorBidi"/>
          <w:b/>
          <w:bCs/>
          <w:i w:val="0"/>
          <w:iCs w:val="0"/>
          <w:sz w:val="28"/>
          <w:szCs w:val="28"/>
        </w:rPr>
        <w:t xml:space="preserve">ASSESSING THE IMPACT OF STORAGE TEMPERATURE ON THE STABILITY AND BIOCIDAL ACTIVITY OF ESSENTIAL OILS FORMULATED. CASE </w:t>
      </w:r>
      <w:r w:rsidRPr="00C912AC">
        <w:rPr>
          <w:rFonts w:asciiTheme="majorBidi" w:hAnsiTheme="majorBidi" w:cstheme="majorBidi"/>
          <w:b/>
          <w:bCs/>
          <w:sz w:val="28"/>
          <w:szCs w:val="28"/>
        </w:rPr>
        <w:t xml:space="preserve">TRIBOLIUM CASTANEUM </w:t>
      </w:r>
      <w:r w:rsidRPr="00C912AC">
        <w:rPr>
          <w:rStyle w:val="lev"/>
          <w:rFonts w:asciiTheme="majorBidi" w:hAnsiTheme="majorBidi" w:cstheme="majorBidi"/>
          <w:sz w:val="28"/>
          <w:szCs w:val="28"/>
        </w:rPr>
        <w:t>(</w:t>
      </w:r>
      <w:r w:rsidRPr="00C912AC">
        <w:rPr>
          <w:rFonts w:asciiTheme="majorBidi" w:eastAsiaTheme="minorHAnsi" w:hAnsiTheme="majorBidi" w:cstheme="majorBidi"/>
          <w:b/>
          <w:bCs/>
          <w:i w:val="0"/>
          <w:iCs w:val="0"/>
          <w:sz w:val="28"/>
          <w:szCs w:val="28"/>
        </w:rPr>
        <w:t>HERBST</w:t>
      </w:r>
      <w:r w:rsidRPr="00C912AC">
        <w:rPr>
          <w:rFonts w:asciiTheme="majorBidi" w:eastAsiaTheme="minorHAnsi" w:hAnsiTheme="majorBidi" w:cstheme="majorBidi"/>
          <w:b/>
          <w:bCs/>
          <w:sz w:val="28"/>
          <w:szCs w:val="28"/>
        </w:rPr>
        <w:t>)</w:t>
      </w:r>
      <w:r w:rsidRPr="00C912AC">
        <w:rPr>
          <w:rFonts w:asciiTheme="majorBidi" w:eastAsiaTheme="minorHAnsi" w:hAnsiTheme="majorBidi" w:cstheme="majorBidi"/>
          <w:sz w:val="28"/>
          <w:szCs w:val="28"/>
        </w:rPr>
        <w:t>.</w:t>
      </w:r>
      <w:r w:rsidRPr="00C912AC">
        <w:rPr>
          <w:rFonts w:asciiTheme="majorBidi" w:hAnsiTheme="majorBidi" w:cstheme="majorBidi"/>
          <w:b/>
          <w:bCs/>
          <w:sz w:val="28"/>
          <w:szCs w:val="28"/>
        </w:rPr>
        <w:t xml:space="preserve"> (INSECTA, TENEBRIONIDAE)</w:t>
      </w:r>
      <w:r>
        <w:rPr>
          <w:rFonts w:asciiTheme="majorBidi" w:hAnsiTheme="majorBidi" w:cstheme="majorBidi"/>
          <w:b/>
          <w:bCs/>
          <w:sz w:val="28"/>
          <w:szCs w:val="28"/>
        </w:rPr>
        <w:t>.</w:t>
      </w:r>
    </w:p>
    <w:p w:rsidR="003B3F51" w:rsidRPr="002A1439" w:rsidRDefault="003B3F51" w:rsidP="003B3F51">
      <w:pPr>
        <w:pStyle w:val="Default"/>
        <w:jc w:val="center"/>
        <w:outlineLvl w:val="0"/>
        <w:rPr>
          <w:rFonts w:asciiTheme="majorBidi" w:hAnsiTheme="majorBidi" w:cstheme="majorBidi"/>
          <w:b/>
          <w:lang w:val="fr-FR"/>
        </w:rPr>
      </w:pPr>
      <w:r w:rsidRPr="002A1439">
        <w:rPr>
          <w:rFonts w:asciiTheme="majorBidi" w:hAnsiTheme="majorBidi" w:cstheme="majorBidi"/>
          <w:b/>
          <w:u w:val="single"/>
          <w:lang w:val="fr-FR"/>
        </w:rPr>
        <w:t>OUCHAI  Malika</w:t>
      </w:r>
      <w:r w:rsidR="001D20D4" w:rsidRPr="002A1439">
        <w:rPr>
          <w:rFonts w:asciiTheme="majorBidi" w:hAnsiTheme="majorBidi" w:cstheme="majorBidi"/>
          <w:b/>
          <w:lang w:val="fr-FR"/>
        </w:rPr>
        <w:t>¹, MOUSSAOUI  K</w:t>
      </w:r>
      <w:r w:rsidRPr="002A1439">
        <w:rPr>
          <w:rFonts w:asciiTheme="majorBidi" w:hAnsiTheme="majorBidi" w:cstheme="majorBidi"/>
          <w:b/>
          <w:lang w:val="fr-FR"/>
        </w:rPr>
        <w:t>²&amp; DJAZOULLI  Z E³.</w:t>
      </w:r>
    </w:p>
    <w:p w:rsidR="003B3F51" w:rsidRPr="003B3F51" w:rsidRDefault="003B3F51" w:rsidP="003B3F51">
      <w:pPr>
        <w:pStyle w:val="Default"/>
        <w:jc w:val="center"/>
        <w:outlineLvl w:val="0"/>
        <w:rPr>
          <w:rFonts w:asciiTheme="majorBidi" w:hAnsiTheme="majorBidi" w:cstheme="majorBidi"/>
          <w:b/>
          <w:lang w:val="fr-FR"/>
        </w:rPr>
      </w:pPr>
      <w:r>
        <w:rPr>
          <w:rFonts w:asciiTheme="majorBidi" w:hAnsiTheme="majorBidi" w:cstheme="majorBidi"/>
          <w:lang w:val="fr-FR"/>
        </w:rPr>
        <w:t>(¹</w:t>
      </w:r>
      <w:r w:rsidRPr="00B367C6">
        <w:rPr>
          <w:rFonts w:asciiTheme="majorBidi" w:hAnsiTheme="majorBidi" w:cstheme="majorBidi"/>
          <w:lang w:val="fr-FR"/>
        </w:rPr>
        <w:t xml:space="preserve">)Ecole nationale supérieure d’agronomie ENSA </w:t>
      </w:r>
      <w:proofErr w:type="spellStart"/>
      <w:r w:rsidRPr="00B367C6">
        <w:rPr>
          <w:rFonts w:asciiTheme="majorBidi" w:hAnsiTheme="majorBidi" w:cstheme="majorBidi"/>
          <w:lang w:val="fr-FR"/>
        </w:rPr>
        <w:t>El-harrach</w:t>
      </w:r>
      <w:proofErr w:type="spellEnd"/>
      <w:r w:rsidRPr="00B367C6">
        <w:rPr>
          <w:rFonts w:asciiTheme="majorBidi" w:hAnsiTheme="majorBidi" w:cstheme="majorBidi"/>
          <w:lang w:val="fr-FR"/>
        </w:rPr>
        <w:t xml:space="preserve"> Alger(</w:t>
      </w:r>
      <w:proofErr w:type="spellStart"/>
      <w:r w:rsidRPr="00B367C6">
        <w:rPr>
          <w:rFonts w:asciiTheme="majorBidi" w:hAnsiTheme="majorBidi" w:cstheme="majorBidi"/>
          <w:lang w:val="fr-FR"/>
        </w:rPr>
        <w:t>Algerie</w:t>
      </w:r>
      <w:proofErr w:type="spellEnd"/>
      <w:r w:rsidRPr="00B367C6">
        <w:rPr>
          <w:rFonts w:asciiTheme="majorBidi" w:hAnsiTheme="majorBidi" w:cstheme="majorBidi"/>
          <w:lang w:val="fr-FR"/>
        </w:rPr>
        <w:t>),</w:t>
      </w:r>
      <w:r>
        <w:rPr>
          <w:rFonts w:asciiTheme="majorBidi" w:hAnsiTheme="majorBidi" w:cstheme="majorBidi"/>
          <w:lang w:val="fr-FR"/>
        </w:rPr>
        <w:t xml:space="preserve">ouchainaima2000@yahoo.fr. (²) </w:t>
      </w:r>
      <w:r w:rsidRPr="009F33E5">
        <w:rPr>
          <w:rFonts w:asciiTheme="majorBidi" w:hAnsiTheme="majorBidi" w:cstheme="majorBidi"/>
          <w:lang w:val="fr-FR"/>
        </w:rPr>
        <w:t>Kam</w:t>
      </w:r>
      <w:r>
        <w:rPr>
          <w:rFonts w:asciiTheme="majorBidi" w:hAnsiTheme="majorBidi" w:cstheme="majorBidi"/>
          <w:lang w:val="fr-FR"/>
        </w:rPr>
        <w:t xml:space="preserve">elmoussa@Aol.fr.(³) </w:t>
      </w:r>
      <w:r w:rsidRPr="0086687C">
        <w:rPr>
          <w:rStyle w:val="ac-value"/>
          <w:rFonts w:asciiTheme="majorBidi" w:hAnsiTheme="majorBidi" w:cstheme="majorBidi"/>
          <w:lang w:val="fr-FR"/>
        </w:rPr>
        <w:t>zahror2002@yahoo.fr</w:t>
      </w:r>
      <w:r w:rsidRPr="00B367C6">
        <w:rPr>
          <w:rFonts w:asciiTheme="majorBidi" w:hAnsiTheme="majorBidi" w:cstheme="majorBidi"/>
          <w:lang w:val="fr-FR"/>
        </w:rPr>
        <w:t xml:space="preserve"> Université SAAD </w:t>
      </w:r>
      <w:proofErr w:type="spellStart"/>
      <w:r w:rsidRPr="00B367C6">
        <w:rPr>
          <w:rFonts w:asciiTheme="majorBidi" w:hAnsiTheme="majorBidi" w:cstheme="majorBidi"/>
          <w:lang w:val="fr-FR"/>
        </w:rPr>
        <w:t>Dahleb</w:t>
      </w:r>
      <w:proofErr w:type="spellEnd"/>
      <w:r w:rsidRPr="00B367C6">
        <w:rPr>
          <w:rFonts w:asciiTheme="majorBidi" w:hAnsiTheme="majorBidi" w:cstheme="majorBidi"/>
          <w:lang w:val="fr-FR"/>
        </w:rPr>
        <w:t xml:space="preserve">, Faculté des Sciences Agronomiques, département d'Agronomie, BP 270, route de </w:t>
      </w:r>
      <w:proofErr w:type="spellStart"/>
      <w:r w:rsidRPr="00B367C6">
        <w:rPr>
          <w:rFonts w:asciiTheme="majorBidi" w:hAnsiTheme="majorBidi" w:cstheme="majorBidi"/>
          <w:lang w:val="fr-FR"/>
        </w:rPr>
        <w:t>Soumâa</w:t>
      </w:r>
      <w:proofErr w:type="spellEnd"/>
      <w:r w:rsidRPr="00B367C6">
        <w:rPr>
          <w:rFonts w:asciiTheme="majorBidi" w:hAnsiTheme="majorBidi" w:cstheme="majorBidi"/>
          <w:lang w:val="fr-FR"/>
        </w:rPr>
        <w:t>, Blida (Algérie)</w:t>
      </w:r>
      <w:r w:rsidRPr="009F33E5">
        <w:rPr>
          <w:rFonts w:asciiTheme="majorBidi" w:hAnsiTheme="majorBidi" w:cstheme="majorBidi"/>
          <w:lang w:val="fr-FR"/>
        </w:rPr>
        <w:t>.</w:t>
      </w:r>
    </w:p>
    <w:p w:rsidR="00D8348C" w:rsidRPr="001D20D4" w:rsidRDefault="00D8348C" w:rsidP="001D20D4">
      <w:pPr>
        <w:spacing w:after="0" w:line="240" w:lineRule="auto"/>
        <w:jc w:val="both"/>
        <w:rPr>
          <w:rFonts w:cstheme="minorHAnsi"/>
          <w:b/>
          <w:bCs/>
          <w:i w:val="0"/>
          <w:iCs w:val="0"/>
          <w:sz w:val="22"/>
          <w:szCs w:val="22"/>
        </w:rPr>
      </w:pPr>
      <w:r w:rsidRPr="001D20D4">
        <w:rPr>
          <w:rFonts w:cstheme="minorHAnsi"/>
          <w:b/>
          <w:bCs/>
          <w:i w:val="0"/>
          <w:iCs w:val="0"/>
          <w:sz w:val="22"/>
          <w:szCs w:val="22"/>
        </w:rPr>
        <w:t>Summary</w:t>
      </w:r>
    </w:p>
    <w:p w:rsidR="00D8348C" w:rsidRPr="001D20D4" w:rsidRDefault="00D8348C" w:rsidP="001D20D4">
      <w:pPr>
        <w:spacing w:after="0" w:line="240" w:lineRule="auto"/>
        <w:jc w:val="both"/>
        <w:rPr>
          <w:rFonts w:cstheme="minorHAnsi"/>
          <w:i w:val="0"/>
          <w:iCs w:val="0"/>
          <w:sz w:val="22"/>
          <w:szCs w:val="22"/>
        </w:rPr>
      </w:pPr>
      <w:r w:rsidRPr="001D20D4">
        <w:rPr>
          <w:rFonts w:cstheme="minorHAnsi"/>
          <w:i w:val="0"/>
          <w:iCs w:val="0"/>
          <w:sz w:val="22"/>
          <w:szCs w:val="22"/>
        </w:rPr>
        <w:t xml:space="preserve">Cereals like other stored food currently experiencing serious health problems during storage. The offending agents are primary pests such as </w:t>
      </w:r>
      <w:proofErr w:type="spellStart"/>
      <w:r w:rsidRPr="001D20D4">
        <w:rPr>
          <w:rFonts w:cstheme="minorHAnsi"/>
          <w:sz w:val="22"/>
          <w:szCs w:val="22"/>
        </w:rPr>
        <w:t>Sitophilus</w:t>
      </w:r>
      <w:proofErr w:type="spellEnd"/>
      <w:r w:rsidRPr="001D20D4">
        <w:rPr>
          <w:rFonts w:cstheme="minorHAnsi"/>
          <w:sz w:val="22"/>
          <w:szCs w:val="22"/>
        </w:rPr>
        <w:t xml:space="preserve"> </w:t>
      </w:r>
      <w:proofErr w:type="spellStart"/>
      <w:r w:rsidRPr="001D20D4">
        <w:rPr>
          <w:rFonts w:cstheme="minorHAnsi"/>
          <w:sz w:val="22"/>
          <w:szCs w:val="22"/>
        </w:rPr>
        <w:t>oryzae</w:t>
      </w:r>
      <w:proofErr w:type="spellEnd"/>
      <w:r w:rsidRPr="001D20D4">
        <w:rPr>
          <w:rFonts w:cstheme="minorHAnsi"/>
          <w:i w:val="0"/>
          <w:iCs w:val="0"/>
          <w:sz w:val="22"/>
          <w:szCs w:val="22"/>
        </w:rPr>
        <w:t xml:space="preserve"> and secondary pests among other (</w:t>
      </w:r>
      <w:proofErr w:type="spellStart"/>
      <w:r w:rsidRPr="001D20D4">
        <w:rPr>
          <w:rFonts w:cstheme="minorHAnsi"/>
          <w:sz w:val="22"/>
          <w:szCs w:val="22"/>
        </w:rPr>
        <w:t>Tribolium.Sp</w:t>
      </w:r>
      <w:proofErr w:type="spellEnd"/>
      <w:r w:rsidRPr="001D20D4">
        <w:rPr>
          <w:rFonts w:cstheme="minorHAnsi"/>
          <w:i w:val="0"/>
          <w:iCs w:val="0"/>
          <w:sz w:val="22"/>
          <w:szCs w:val="22"/>
        </w:rPr>
        <w:t xml:space="preserve">). This study focused on the evaluation of the </w:t>
      </w:r>
      <w:proofErr w:type="spellStart"/>
      <w:r w:rsidRPr="001D20D4">
        <w:rPr>
          <w:rFonts w:cstheme="minorHAnsi"/>
          <w:i w:val="0"/>
          <w:iCs w:val="0"/>
          <w:sz w:val="22"/>
          <w:szCs w:val="22"/>
        </w:rPr>
        <w:t>biocidal</w:t>
      </w:r>
      <w:proofErr w:type="spellEnd"/>
      <w:r w:rsidRPr="001D20D4">
        <w:rPr>
          <w:rFonts w:cstheme="minorHAnsi"/>
          <w:i w:val="0"/>
          <w:iCs w:val="0"/>
          <w:sz w:val="22"/>
          <w:szCs w:val="22"/>
        </w:rPr>
        <w:t xml:space="preserve"> effect of the essential oils of thyme and made ​​the citrus, against adults of red flour beetle (</w:t>
      </w:r>
      <w:proofErr w:type="spellStart"/>
      <w:r w:rsidRPr="001D20D4">
        <w:rPr>
          <w:rFonts w:cstheme="minorHAnsi"/>
          <w:sz w:val="22"/>
          <w:szCs w:val="22"/>
        </w:rPr>
        <w:t>Tribolium</w:t>
      </w:r>
      <w:proofErr w:type="spellEnd"/>
      <w:r w:rsidRPr="001D20D4">
        <w:rPr>
          <w:rFonts w:cstheme="minorHAnsi"/>
          <w:sz w:val="22"/>
          <w:szCs w:val="22"/>
        </w:rPr>
        <w:t xml:space="preserve"> </w:t>
      </w:r>
      <w:proofErr w:type="spellStart"/>
      <w:r w:rsidRPr="001D20D4">
        <w:rPr>
          <w:rFonts w:cstheme="minorHAnsi"/>
          <w:sz w:val="22"/>
          <w:szCs w:val="22"/>
        </w:rPr>
        <w:t>castaneum</w:t>
      </w:r>
      <w:proofErr w:type="spellEnd"/>
      <w:r w:rsidRPr="001D20D4">
        <w:rPr>
          <w:rFonts w:cstheme="minorHAnsi"/>
          <w:i w:val="0"/>
          <w:iCs w:val="0"/>
          <w:sz w:val="22"/>
          <w:szCs w:val="22"/>
        </w:rPr>
        <w:t xml:space="preserve">) under different temperature </w:t>
      </w:r>
      <w:proofErr w:type="spellStart"/>
      <w:r w:rsidRPr="001D20D4">
        <w:rPr>
          <w:rFonts w:cstheme="minorHAnsi"/>
          <w:i w:val="0"/>
          <w:iCs w:val="0"/>
          <w:sz w:val="22"/>
          <w:szCs w:val="22"/>
        </w:rPr>
        <w:t>regimes.The</w:t>
      </w:r>
      <w:proofErr w:type="spellEnd"/>
      <w:r w:rsidRPr="001D20D4">
        <w:rPr>
          <w:rFonts w:cstheme="minorHAnsi"/>
          <w:i w:val="0"/>
          <w:iCs w:val="0"/>
          <w:sz w:val="22"/>
          <w:szCs w:val="22"/>
        </w:rPr>
        <w:t xml:space="preserve"> results of this study showed that different molecules have made ​​a late effect (12h-14h-16h-18h) on the populations of </w:t>
      </w:r>
      <w:proofErr w:type="spellStart"/>
      <w:r w:rsidRPr="001D20D4">
        <w:rPr>
          <w:rFonts w:cstheme="minorHAnsi"/>
          <w:sz w:val="22"/>
          <w:szCs w:val="22"/>
        </w:rPr>
        <w:t>Tribolium</w:t>
      </w:r>
      <w:proofErr w:type="spellEnd"/>
      <w:r w:rsidRPr="001D20D4">
        <w:rPr>
          <w:rFonts w:cstheme="minorHAnsi"/>
          <w:sz w:val="22"/>
          <w:szCs w:val="22"/>
        </w:rPr>
        <w:t xml:space="preserve"> </w:t>
      </w:r>
      <w:proofErr w:type="spellStart"/>
      <w:r w:rsidRPr="001D20D4">
        <w:rPr>
          <w:rFonts w:cstheme="minorHAnsi"/>
          <w:sz w:val="22"/>
          <w:szCs w:val="22"/>
        </w:rPr>
        <w:t>castaneum</w:t>
      </w:r>
      <w:proofErr w:type="spellEnd"/>
      <w:r w:rsidRPr="001D20D4">
        <w:rPr>
          <w:rFonts w:cstheme="minorHAnsi"/>
          <w:i w:val="0"/>
          <w:iCs w:val="0"/>
          <w:sz w:val="22"/>
          <w:szCs w:val="22"/>
        </w:rPr>
        <w:t xml:space="preserve"> at the storage temperature of 20°C. The same results show an early striking effect of </w:t>
      </w:r>
      <w:proofErr w:type="spellStart"/>
      <w:r w:rsidRPr="001D20D4">
        <w:rPr>
          <w:rFonts w:cstheme="minorHAnsi"/>
          <w:i w:val="0"/>
          <w:iCs w:val="0"/>
          <w:sz w:val="22"/>
          <w:szCs w:val="22"/>
        </w:rPr>
        <w:t>thymol</w:t>
      </w:r>
      <w:proofErr w:type="spellEnd"/>
      <w:r w:rsidRPr="001D20D4">
        <w:rPr>
          <w:rFonts w:cstheme="minorHAnsi"/>
          <w:i w:val="0"/>
          <w:iCs w:val="0"/>
          <w:sz w:val="22"/>
          <w:szCs w:val="22"/>
        </w:rPr>
        <w:t xml:space="preserve"> and </w:t>
      </w:r>
      <w:proofErr w:type="spellStart"/>
      <w:r w:rsidRPr="001D20D4">
        <w:rPr>
          <w:rFonts w:cstheme="minorHAnsi"/>
          <w:i w:val="0"/>
          <w:iCs w:val="0"/>
          <w:sz w:val="22"/>
          <w:szCs w:val="22"/>
        </w:rPr>
        <w:t>carvacrol</w:t>
      </w:r>
      <w:proofErr w:type="spellEnd"/>
      <w:r w:rsidRPr="001D20D4">
        <w:rPr>
          <w:rFonts w:cstheme="minorHAnsi"/>
          <w:i w:val="0"/>
          <w:iCs w:val="0"/>
          <w:sz w:val="22"/>
          <w:szCs w:val="22"/>
        </w:rPr>
        <w:t xml:space="preserve"> on individuals </w:t>
      </w:r>
      <w:proofErr w:type="spellStart"/>
      <w:r w:rsidRPr="001D20D4">
        <w:rPr>
          <w:rFonts w:cstheme="minorHAnsi"/>
          <w:sz w:val="22"/>
          <w:szCs w:val="22"/>
        </w:rPr>
        <w:t>Tribolium</w:t>
      </w:r>
      <w:proofErr w:type="spellEnd"/>
      <w:r w:rsidRPr="001D20D4">
        <w:rPr>
          <w:rFonts w:cstheme="minorHAnsi"/>
          <w:sz w:val="22"/>
          <w:szCs w:val="22"/>
        </w:rPr>
        <w:t xml:space="preserve"> </w:t>
      </w:r>
      <w:proofErr w:type="spellStart"/>
      <w:r w:rsidRPr="001D20D4">
        <w:rPr>
          <w:rFonts w:cstheme="minorHAnsi"/>
          <w:sz w:val="22"/>
          <w:szCs w:val="22"/>
        </w:rPr>
        <w:t>castaneum</w:t>
      </w:r>
      <w:proofErr w:type="spellEnd"/>
      <w:r w:rsidRPr="001D20D4">
        <w:rPr>
          <w:rFonts w:cstheme="minorHAnsi"/>
          <w:i w:val="0"/>
          <w:iCs w:val="0"/>
          <w:sz w:val="22"/>
          <w:szCs w:val="22"/>
        </w:rPr>
        <w:t xml:space="preserve"> compared to limonene. The toxicity of </w:t>
      </w:r>
      <w:proofErr w:type="spellStart"/>
      <w:r w:rsidRPr="001D20D4">
        <w:rPr>
          <w:rFonts w:cstheme="minorHAnsi"/>
          <w:i w:val="0"/>
          <w:iCs w:val="0"/>
          <w:sz w:val="22"/>
          <w:szCs w:val="22"/>
        </w:rPr>
        <w:t>thymol</w:t>
      </w:r>
      <w:proofErr w:type="spellEnd"/>
      <w:r w:rsidRPr="001D20D4">
        <w:rPr>
          <w:rFonts w:cstheme="minorHAnsi"/>
          <w:i w:val="0"/>
          <w:iCs w:val="0"/>
          <w:sz w:val="22"/>
          <w:szCs w:val="22"/>
        </w:rPr>
        <w:t xml:space="preserve"> and </w:t>
      </w:r>
      <w:proofErr w:type="spellStart"/>
      <w:r w:rsidRPr="001D20D4">
        <w:rPr>
          <w:rFonts w:cstheme="minorHAnsi"/>
          <w:i w:val="0"/>
          <w:iCs w:val="0"/>
          <w:sz w:val="22"/>
          <w:szCs w:val="22"/>
        </w:rPr>
        <w:t>carvacrol</w:t>
      </w:r>
      <w:proofErr w:type="spellEnd"/>
      <w:r w:rsidRPr="001D20D4">
        <w:rPr>
          <w:rFonts w:cstheme="minorHAnsi"/>
          <w:i w:val="0"/>
          <w:iCs w:val="0"/>
          <w:sz w:val="22"/>
          <w:szCs w:val="22"/>
        </w:rPr>
        <w:t xml:space="preserve"> are much more active than limonene at 12h and exercises a very remarkable as limonene expresses its toxicity that from 14h deadly effect. Temperatures under 20 ° C and 25 ° C, </w:t>
      </w:r>
      <w:proofErr w:type="spellStart"/>
      <w:r w:rsidRPr="001D20D4">
        <w:rPr>
          <w:rFonts w:cstheme="minorHAnsi"/>
          <w:i w:val="0"/>
          <w:iCs w:val="0"/>
          <w:sz w:val="22"/>
          <w:szCs w:val="22"/>
        </w:rPr>
        <w:t>thymol</w:t>
      </w:r>
      <w:proofErr w:type="spellEnd"/>
      <w:r w:rsidRPr="001D20D4">
        <w:rPr>
          <w:rFonts w:cstheme="minorHAnsi"/>
          <w:i w:val="0"/>
          <w:iCs w:val="0"/>
          <w:sz w:val="22"/>
          <w:szCs w:val="22"/>
        </w:rPr>
        <w:t xml:space="preserve"> showed a greater degree of efficiency followed by </w:t>
      </w:r>
      <w:proofErr w:type="spellStart"/>
      <w:r w:rsidRPr="001D20D4">
        <w:rPr>
          <w:rFonts w:cstheme="minorHAnsi"/>
          <w:i w:val="0"/>
          <w:iCs w:val="0"/>
          <w:sz w:val="22"/>
          <w:szCs w:val="22"/>
        </w:rPr>
        <w:t>carvacrol</w:t>
      </w:r>
      <w:proofErr w:type="spellEnd"/>
      <w:r w:rsidRPr="001D20D4">
        <w:rPr>
          <w:rFonts w:cstheme="minorHAnsi"/>
          <w:i w:val="0"/>
          <w:iCs w:val="0"/>
          <w:sz w:val="22"/>
          <w:szCs w:val="22"/>
        </w:rPr>
        <w:t xml:space="preserve"> and limonene which has a low. However at 28 ° C, </w:t>
      </w:r>
      <w:proofErr w:type="spellStart"/>
      <w:r w:rsidRPr="001D20D4">
        <w:rPr>
          <w:rFonts w:cstheme="minorHAnsi"/>
          <w:i w:val="0"/>
          <w:iCs w:val="0"/>
          <w:sz w:val="22"/>
          <w:szCs w:val="22"/>
        </w:rPr>
        <w:t>carvacrol</w:t>
      </w:r>
      <w:proofErr w:type="spellEnd"/>
      <w:r w:rsidRPr="001D20D4">
        <w:rPr>
          <w:rFonts w:cstheme="minorHAnsi"/>
          <w:i w:val="0"/>
          <w:iCs w:val="0"/>
          <w:sz w:val="22"/>
          <w:szCs w:val="22"/>
        </w:rPr>
        <w:t xml:space="preserve"> expresses a very significant </w:t>
      </w:r>
      <w:proofErr w:type="spellStart"/>
      <w:r w:rsidRPr="001D20D4">
        <w:rPr>
          <w:rFonts w:cstheme="minorHAnsi"/>
          <w:i w:val="0"/>
          <w:iCs w:val="0"/>
          <w:sz w:val="22"/>
          <w:szCs w:val="22"/>
        </w:rPr>
        <w:t>biocidal</w:t>
      </w:r>
      <w:proofErr w:type="spellEnd"/>
      <w:r w:rsidRPr="001D20D4">
        <w:rPr>
          <w:rFonts w:cstheme="minorHAnsi"/>
          <w:i w:val="0"/>
          <w:iCs w:val="0"/>
          <w:sz w:val="22"/>
          <w:szCs w:val="22"/>
        </w:rPr>
        <w:t xml:space="preserve"> effect compared to the other two formulations </w:t>
      </w:r>
      <w:proofErr w:type="spellStart"/>
      <w:r w:rsidRPr="001D20D4">
        <w:rPr>
          <w:rFonts w:cstheme="minorHAnsi"/>
          <w:i w:val="0"/>
          <w:iCs w:val="0"/>
          <w:sz w:val="22"/>
          <w:szCs w:val="22"/>
        </w:rPr>
        <w:t>thymol</w:t>
      </w:r>
      <w:proofErr w:type="spellEnd"/>
      <w:r w:rsidRPr="001D20D4">
        <w:rPr>
          <w:rFonts w:cstheme="minorHAnsi"/>
          <w:i w:val="0"/>
          <w:iCs w:val="0"/>
          <w:sz w:val="22"/>
          <w:szCs w:val="22"/>
        </w:rPr>
        <w:t xml:space="preserve"> and limonene.</w:t>
      </w:r>
    </w:p>
    <w:p w:rsidR="00D8348C" w:rsidRPr="001D20D4" w:rsidRDefault="00D8348C" w:rsidP="001D20D4">
      <w:pPr>
        <w:spacing w:after="0" w:line="240" w:lineRule="auto"/>
        <w:jc w:val="both"/>
        <w:rPr>
          <w:rFonts w:cstheme="minorHAnsi"/>
          <w:sz w:val="22"/>
          <w:szCs w:val="22"/>
        </w:rPr>
      </w:pPr>
      <w:r w:rsidRPr="001D20D4">
        <w:rPr>
          <w:rFonts w:cstheme="minorHAnsi"/>
          <w:b/>
          <w:bCs/>
          <w:i w:val="0"/>
          <w:iCs w:val="0"/>
          <w:sz w:val="22"/>
          <w:szCs w:val="22"/>
        </w:rPr>
        <w:t xml:space="preserve">Keywords: </w:t>
      </w:r>
      <w:r w:rsidRPr="001D20D4">
        <w:rPr>
          <w:rFonts w:cstheme="minorHAnsi"/>
          <w:sz w:val="22"/>
          <w:szCs w:val="22"/>
        </w:rPr>
        <w:t xml:space="preserve">Thymus </w:t>
      </w:r>
      <w:proofErr w:type="spellStart"/>
      <w:r w:rsidRPr="001D20D4">
        <w:rPr>
          <w:rFonts w:cstheme="minorHAnsi"/>
          <w:sz w:val="22"/>
          <w:szCs w:val="22"/>
        </w:rPr>
        <w:t>fontanesii</w:t>
      </w:r>
      <w:proofErr w:type="spellEnd"/>
      <w:r w:rsidRPr="001D20D4">
        <w:rPr>
          <w:rFonts w:cstheme="minorHAnsi"/>
          <w:i w:val="0"/>
          <w:iCs w:val="0"/>
          <w:sz w:val="22"/>
          <w:szCs w:val="22"/>
        </w:rPr>
        <w:t xml:space="preserve">, bio-efficacy, formulation, temperature, </w:t>
      </w:r>
      <w:proofErr w:type="spellStart"/>
      <w:r w:rsidRPr="001D20D4">
        <w:rPr>
          <w:rFonts w:cstheme="minorHAnsi"/>
          <w:sz w:val="22"/>
          <w:szCs w:val="22"/>
        </w:rPr>
        <w:t>Tribolium</w:t>
      </w:r>
      <w:proofErr w:type="spellEnd"/>
      <w:r w:rsidRPr="001D20D4">
        <w:rPr>
          <w:rFonts w:cstheme="minorHAnsi"/>
          <w:sz w:val="22"/>
          <w:szCs w:val="22"/>
        </w:rPr>
        <w:t xml:space="preserve"> </w:t>
      </w:r>
      <w:proofErr w:type="spellStart"/>
      <w:r w:rsidRPr="001D20D4">
        <w:rPr>
          <w:rFonts w:cstheme="minorHAnsi"/>
          <w:sz w:val="22"/>
          <w:szCs w:val="22"/>
        </w:rPr>
        <w:t>castaneum</w:t>
      </w:r>
      <w:proofErr w:type="spellEnd"/>
      <w:r w:rsidRPr="001D20D4">
        <w:rPr>
          <w:rFonts w:cstheme="minorHAnsi"/>
          <w:sz w:val="22"/>
          <w:szCs w:val="22"/>
        </w:rPr>
        <w:t>.</w:t>
      </w:r>
    </w:p>
    <w:p w:rsidR="009D2939" w:rsidRPr="001D20D4" w:rsidRDefault="009D2939" w:rsidP="001D20D4">
      <w:pPr>
        <w:spacing w:line="240" w:lineRule="auto"/>
        <w:rPr>
          <w:rFonts w:cstheme="minorHAnsi"/>
          <w:sz w:val="18"/>
          <w:szCs w:val="18"/>
        </w:rPr>
      </w:pPr>
      <w:bookmarkStart w:id="0" w:name="_GoBack"/>
      <w:bookmarkEnd w:id="0"/>
    </w:p>
    <w:sectPr w:rsidR="009D2939" w:rsidRPr="001D20D4" w:rsidSect="001D20D4">
      <w:pgSz w:w="11906" w:h="16838"/>
      <w:pgMar w:top="993" w:right="849"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D8348C"/>
    <w:rsid w:val="00041C6E"/>
    <w:rsid w:val="0007351F"/>
    <w:rsid w:val="001766B5"/>
    <w:rsid w:val="00197CE1"/>
    <w:rsid w:val="001D0901"/>
    <w:rsid w:val="001D20D4"/>
    <w:rsid w:val="002A1439"/>
    <w:rsid w:val="003B3F51"/>
    <w:rsid w:val="003D3CB1"/>
    <w:rsid w:val="004A3DD4"/>
    <w:rsid w:val="0059544A"/>
    <w:rsid w:val="007B3E89"/>
    <w:rsid w:val="009D2939"/>
    <w:rsid w:val="00D1364A"/>
    <w:rsid w:val="00D8348C"/>
    <w:rsid w:val="00F21633"/>
    <w:rsid w:val="00FA5F5C"/>
    <w:rsid w:val="00FB59A4"/>
    <w:rsid w:val="00FF720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8C"/>
    <w:pPr>
      <w:spacing w:line="288" w:lineRule="auto"/>
    </w:pPr>
    <w:rPr>
      <w:rFonts w:eastAsiaTheme="minorEastAsia"/>
      <w:i/>
      <w:iCs/>
      <w:sz w:val="20"/>
      <w:szCs w:val="20"/>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uiPriority w:val="22"/>
    <w:qFormat/>
    <w:rsid w:val="00D8348C"/>
    <w:rPr>
      <w:b/>
      <w:bCs/>
      <w:spacing w:val="0"/>
    </w:rPr>
  </w:style>
  <w:style w:type="paragraph" w:customStyle="1" w:styleId="Default">
    <w:name w:val="Default"/>
    <w:rsid w:val="00D8348C"/>
    <w:pPr>
      <w:autoSpaceDE w:val="0"/>
      <w:autoSpaceDN w:val="0"/>
      <w:adjustRightInd w:val="0"/>
      <w:spacing w:after="0" w:line="240" w:lineRule="auto"/>
    </w:pPr>
    <w:rPr>
      <w:rFonts w:ascii="Arial" w:eastAsiaTheme="minorEastAsia" w:hAnsi="Arial" w:cs="Arial"/>
      <w:color w:val="000000"/>
      <w:sz w:val="24"/>
      <w:szCs w:val="24"/>
      <w:lang w:val="en-US" w:bidi="en-US"/>
    </w:rPr>
  </w:style>
  <w:style w:type="character" w:customStyle="1" w:styleId="ac-value">
    <w:name w:val="ac-value"/>
    <w:basedOn w:val="Policepardfaut"/>
    <w:rsid w:val="00D83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48C"/>
    <w:pPr>
      <w:spacing w:line="288" w:lineRule="auto"/>
    </w:pPr>
    <w:rPr>
      <w:rFonts w:eastAsiaTheme="minorEastAsia"/>
      <w:i/>
      <w:iCs/>
      <w:sz w:val="20"/>
      <w:szCs w:val="20"/>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uiPriority w:val="22"/>
    <w:qFormat/>
    <w:rsid w:val="00D8348C"/>
    <w:rPr>
      <w:b/>
      <w:bCs/>
      <w:spacing w:val="0"/>
    </w:rPr>
  </w:style>
  <w:style w:type="paragraph" w:customStyle="1" w:styleId="Default">
    <w:name w:val="Default"/>
    <w:rsid w:val="00D8348C"/>
    <w:pPr>
      <w:autoSpaceDE w:val="0"/>
      <w:autoSpaceDN w:val="0"/>
      <w:adjustRightInd w:val="0"/>
      <w:spacing w:after="0" w:line="240" w:lineRule="auto"/>
    </w:pPr>
    <w:rPr>
      <w:rFonts w:ascii="Arial" w:eastAsiaTheme="minorEastAsia" w:hAnsi="Arial" w:cs="Arial"/>
      <w:color w:val="000000"/>
      <w:sz w:val="24"/>
      <w:szCs w:val="24"/>
      <w:lang w:val="en-US" w:bidi="en-US"/>
    </w:rPr>
  </w:style>
  <w:style w:type="character" w:customStyle="1" w:styleId="ac-value">
    <w:name w:val="ac-value"/>
    <w:basedOn w:val="Policepardfaut"/>
    <w:rsid w:val="00D8348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3488</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 Pro</dc:creator>
  <cp:lastModifiedBy>Laptop</cp:lastModifiedBy>
  <cp:revision>2</cp:revision>
  <dcterms:created xsi:type="dcterms:W3CDTF">2017-10-13T06:29:00Z</dcterms:created>
  <dcterms:modified xsi:type="dcterms:W3CDTF">2017-10-13T06:29:00Z</dcterms:modified>
</cp:coreProperties>
</file>