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B4CADF" w14:textId="139DC364" w:rsidR="00AE3E37" w:rsidRDefault="008D4E9D" w:rsidP="00756308">
      <w:pPr>
        <w:pStyle w:val="Heading1"/>
        <w:spacing w:before="170"/>
        <w:ind w:left="0"/>
      </w:pPr>
      <w:r>
        <w:rPr>
          <w:color w:val="337AB7"/>
        </w:rPr>
        <w:t>Unleashing potential of agricultural biotechnology</w:t>
      </w:r>
      <w:r w:rsidR="00756308">
        <w:rPr>
          <w:color w:val="337AB7"/>
        </w:rPr>
        <w:t>: an economic assessment</w:t>
      </w:r>
    </w:p>
    <w:p w14:paraId="09D7AF06" w14:textId="0EF26A20" w:rsidR="005973B9" w:rsidRDefault="00157417" w:rsidP="00157417">
      <w:pPr>
        <w:pStyle w:val="BodyText"/>
        <w:spacing w:before="73" w:line="198" w:lineRule="exact"/>
        <w:ind w:left="100" w:right="5987"/>
        <w:rPr>
          <w:rFonts w:ascii="Arial"/>
        </w:rPr>
      </w:pPr>
      <w:r>
        <w:rPr>
          <w:rFonts w:ascii="Arial"/>
        </w:rPr>
        <w:t>David Zilberman</w:t>
      </w:r>
      <w:r w:rsidR="005973B9">
        <w:rPr>
          <w:rFonts w:ascii="Arial"/>
        </w:rPr>
        <w:t xml:space="preserve"> PhD, </w:t>
      </w:r>
      <w:r>
        <w:rPr>
          <w:rFonts w:ascii="Arial"/>
        </w:rPr>
        <w:t>UC Berkeley</w:t>
      </w:r>
      <w:r w:rsidR="005973B9">
        <w:rPr>
          <w:rFonts w:ascii="Arial"/>
        </w:rPr>
        <w:t xml:space="preserve">, USA </w:t>
      </w:r>
    </w:p>
    <w:p w14:paraId="32621CC6" w14:textId="77777777" w:rsidR="00AE3E37" w:rsidRDefault="00AE3E37">
      <w:pPr>
        <w:pStyle w:val="BodyText"/>
        <w:rPr>
          <w:rFonts w:ascii="Arial"/>
          <w:sz w:val="20"/>
        </w:rPr>
      </w:pPr>
    </w:p>
    <w:p w14:paraId="78F6961E" w14:textId="77777777" w:rsidR="00AE3E37" w:rsidRDefault="00AE3E37">
      <w:pPr>
        <w:pStyle w:val="BodyText"/>
        <w:spacing w:before="3"/>
        <w:rPr>
          <w:rFonts w:ascii="Arial"/>
          <w:sz w:val="21"/>
        </w:rPr>
      </w:pPr>
    </w:p>
    <w:p w14:paraId="26E9F3F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840EFF7" w14:textId="77777777"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2F2CB9AD" w14:textId="3F561106" w:rsidR="00756308" w:rsidRDefault="00756308" w:rsidP="00756308">
      <w:pPr>
        <w:tabs>
          <w:tab w:val="left" w:pos="384"/>
        </w:tabs>
        <w:spacing w:before="103" w:line="216" w:lineRule="exact"/>
        <w:ind w:right="138"/>
        <w:rPr>
          <w:sz w:val="18"/>
        </w:rPr>
      </w:pPr>
      <w:r>
        <w:rPr>
          <w:sz w:val="18"/>
        </w:rPr>
        <w:t>Discovery of DNA and frontier molecular technologies associated with it provide new opportunities for growth in agricultural productivity. We will show that use of these techniques to develop genetically engineered varieties have significantly contributed to enhance supply of major commodities, reduce price of food, and reduce GHGs. Yet, heavy regulations have prevented the technology from reaching its potential, especially in developing countries. We will present findings that show that bans and restrictions across the world have resulted in loss of economic gains in $100s billions and significant losses in terms of malnourishment, eye sight and life. Regulatory reform can unleash potential of these technologies to alleviate poverty &amp; malnourishment, reduce GHGs, and enhance consumers’ well-being &amp; farmers’ income.</w:t>
      </w:r>
    </w:p>
    <w:p w14:paraId="4E95A925" w14:textId="77777777" w:rsidR="00756308" w:rsidRDefault="00756308" w:rsidP="00756308">
      <w:pPr>
        <w:tabs>
          <w:tab w:val="left" w:pos="384"/>
        </w:tabs>
        <w:spacing w:before="103" w:line="216" w:lineRule="exact"/>
        <w:ind w:right="138"/>
        <w:rPr>
          <w:sz w:val="18"/>
        </w:rPr>
      </w:pPr>
    </w:p>
    <w:p w14:paraId="5E86CD47" w14:textId="77777777" w:rsidR="00756308" w:rsidRDefault="00756308" w:rsidP="00756308">
      <w:pPr>
        <w:tabs>
          <w:tab w:val="left" w:pos="384"/>
        </w:tabs>
        <w:spacing w:before="103" w:line="216" w:lineRule="exact"/>
        <w:ind w:right="138"/>
        <w:rPr>
          <w:sz w:val="18"/>
        </w:rPr>
      </w:pPr>
    </w:p>
    <w:p w14:paraId="747DF8A7" w14:textId="77777777" w:rsidR="00756308" w:rsidRDefault="00756308" w:rsidP="00756308">
      <w:pPr>
        <w:tabs>
          <w:tab w:val="left" w:pos="384"/>
        </w:tabs>
        <w:spacing w:before="103" w:line="216" w:lineRule="exact"/>
        <w:ind w:right="138"/>
        <w:rPr>
          <w:sz w:val="18"/>
        </w:rPr>
      </w:pPr>
    </w:p>
    <w:p w14:paraId="1FB91309" w14:textId="77777777" w:rsidR="00756308" w:rsidRDefault="00756308" w:rsidP="00756308">
      <w:pPr>
        <w:tabs>
          <w:tab w:val="left" w:pos="384"/>
        </w:tabs>
        <w:spacing w:before="103" w:line="216" w:lineRule="exact"/>
        <w:ind w:right="138"/>
        <w:rPr>
          <w:sz w:val="18"/>
        </w:rPr>
      </w:pPr>
    </w:p>
    <w:p w14:paraId="1A1BF732" w14:textId="77777777" w:rsidR="00756308" w:rsidRDefault="00756308" w:rsidP="00756308">
      <w:pPr>
        <w:tabs>
          <w:tab w:val="left" w:pos="384"/>
        </w:tabs>
        <w:spacing w:before="103" w:line="216" w:lineRule="exact"/>
        <w:ind w:right="138"/>
        <w:rPr>
          <w:sz w:val="18"/>
        </w:rPr>
      </w:pPr>
    </w:p>
    <w:p w14:paraId="3DE6F21C" w14:textId="77777777" w:rsidR="00756308" w:rsidRDefault="00756308" w:rsidP="00756308">
      <w:pPr>
        <w:tabs>
          <w:tab w:val="left" w:pos="384"/>
        </w:tabs>
        <w:spacing w:before="103" w:line="216" w:lineRule="exact"/>
        <w:ind w:right="138"/>
        <w:rPr>
          <w:sz w:val="18"/>
        </w:rPr>
      </w:pPr>
    </w:p>
    <w:p w14:paraId="16D1AE44" w14:textId="658F4265" w:rsidR="00AE3E37" w:rsidRDefault="00AE3E37" w:rsidP="00756308">
      <w:pPr>
        <w:pStyle w:val="Heading3"/>
        <w:spacing w:before="74"/>
      </w:pPr>
    </w:p>
    <w:p w14:paraId="05171430" w14:textId="6CA71641" w:rsidR="00AE3E37" w:rsidRDefault="00AE3E37">
      <w:pPr>
        <w:pStyle w:val="BodyText"/>
        <w:spacing w:before="2"/>
        <w:rPr>
          <w:rFonts w:ascii="Arial"/>
          <w:b/>
          <w:sz w:val="16"/>
        </w:rPr>
      </w:pPr>
    </w:p>
    <w:p w14:paraId="616E32B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BE1E18A" w14:textId="3BFD794D" w:rsidR="00756308" w:rsidRPr="00AD0CE8" w:rsidRDefault="00756308" w:rsidP="00AD0CE8">
      <w:pPr>
        <w:pStyle w:val="ListParagraph"/>
        <w:numPr>
          <w:ilvl w:val="0"/>
          <w:numId w:val="3"/>
        </w:numPr>
        <w:tabs>
          <w:tab w:val="left" w:pos="384"/>
        </w:tabs>
        <w:spacing w:line="216" w:lineRule="exact"/>
        <w:ind w:right="137" w:hanging="283"/>
        <w:rPr>
          <w:sz w:val="18"/>
        </w:rPr>
      </w:pPr>
      <w:r w:rsidRPr="00AD0CE8">
        <w:rPr>
          <w:sz w:val="18"/>
        </w:rPr>
        <w:t>Bennett, A. B., Chi-Ham, C., Barrows, G., Sexton, S., &amp; Zilberman, D. (2013). Agricultural biotechnology: economics, environment, ethics, and the future. Annual Review of Environment and Resources, 38, 249-279.</w:t>
      </w:r>
    </w:p>
    <w:p w14:paraId="43FC15D3" w14:textId="77777777" w:rsidR="00AD0CE8" w:rsidRPr="00AD0CE8" w:rsidRDefault="00AD0CE8" w:rsidP="00AD0CE8">
      <w:pPr>
        <w:pStyle w:val="ListParagraph"/>
        <w:numPr>
          <w:ilvl w:val="0"/>
          <w:numId w:val="3"/>
        </w:numPr>
        <w:tabs>
          <w:tab w:val="left" w:pos="384"/>
        </w:tabs>
        <w:spacing w:line="216" w:lineRule="exact"/>
        <w:ind w:right="137" w:hanging="283"/>
        <w:rPr>
          <w:sz w:val="18"/>
        </w:rPr>
      </w:pPr>
      <w:proofErr w:type="spellStart"/>
      <w:r w:rsidRPr="00AD0CE8">
        <w:rPr>
          <w:sz w:val="18"/>
        </w:rPr>
        <w:t>Wesseler</w:t>
      </w:r>
      <w:proofErr w:type="spellEnd"/>
      <w:r w:rsidRPr="00AD0CE8">
        <w:rPr>
          <w:sz w:val="18"/>
        </w:rPr>
        <w:t>, J., &amp; Zilberman, D. (2014). The economic power of the Golden Rice opposition. Environment and Development Economics, 19(6), 724-742.</w:t>
      </w:r>
    </w:p>
    <w:p w14:paraId="71B7E12C" w14:textId="77777777" w:rsidR="00A67F73" w:rsidRPr="00A67F73" w:rsidRDefault="00A67F73" w:rsidP="00A67F73">
      <w:pPr>
        <w:pStyle w:val="ListParagraph"/>
        <w:numPr>
          <w:ilvl w:val="0"/>
          <w:numId w:val="3"/>
        </w:numPr>
        <w:tabs>
          <w:tab w:val="left" w:pos="384"/>
        </w:tabs>
        <w:spacing w:line="216" w:lineRule="exact"/>
        <w:ind w:right="137" w:hanging="283"/>
        <w:rPr>
          <w:sz w:val="18"/>
        </w:rPr>
      </w:pPr>
      <w:proofErr w:type="spellStart"/>
      <w:r w:rsidRPr="00A67F73">
        <w:rPr>
          <w:sz w:val="18"/>
        </w:rPr>
        <w:t>Wesseler</w:t>
      </w:r>
      <w:proofErr w:type="spellEnd"/>
      <w:r w:rsidRPr="00A67F73">
        <w:rPr>
          <w:sz w:val="18"/>
        </w:rPr>
        <w:t>, J., Smart, R. D., Thomson, J., &amp; Zilberman, D. (2017). Foregone benefits of important food crop improvements in Sub-Saharan Africa. </w:t>
      </w:r>
      <w:proofErr w:type="spellStart"/>
      <w:r w:rsidRPr="00A67F73">
        <w:rPr>
          <w:sz w:val="18"/>
        </w:rPr>
        <w:t>PloS</w:t>
      </w:r>
      <w:proofErr w:type="spellEnd"/>
      <w:r w:rsidRPr="00A67F73">
        <w:rPr>
          <w:sz w:val="18"/>
        </w:rPr>
        <w:t xml:space="preserve"> one, 12(7), e0181353.</w:t>
      </w:r>
    </w:p>
    <w:p w14:paraId="1FF2F4E2" w14:textId="77777777" w:rsidR="00832F92" w:rsidRPr="00832F92" w:rsidRDefault="00832F92" w:rsidP="00832F92">
      <w:pPr>
        <w:pStyle w:val="ListParagraph"/>
        <w:numPr>
          <w:ilvl w:val="0"/>
          <w:numId w:val="3"/>
        </w:numPr>
        <w:tabs>
          <w:tab w:val="left" w:pos="384"/>
        </w:tabs>
        <w:spacing w:line="216" w:lineRule="exact"/>
        <w:ind w:right="137" w:hanging="283"/>
        <w:rPr>
          <w:sz w:val="18"/>
        </w:rPr>
      </w:pPr>
      <w:r w:rsidRPr="00832F92">
        <w:rPr>
          <w:sz w:val="18"/>
        </w:rPr>
        <w:t>Zilberman, D., Zhao, J., &amp; Heiman, A. (2012). Adoption versus adaptation, with emphasis on climate change. </w:t>
      </w:r>
      <w:proofErr w:type="spellStart"/>
      <w:r w:rsidRPr="00832F92">
        <w:rPr>
          <w:sz w:val="18"/>
        </w:rPr>
        <w:t>Annu</w:t>
      </w:r>
      <w:proofErr w:type="spellEnd"/>
      <w:r w:rsidRPr="00832F92">
        <w:rPr>
          <w:sz w:val="18"/>
        </w:rPr>
        <w:t xml:space="preserve">. Rev. </w:t>
      </w:r>
      <w:proofErr w:type="spellStart"/>
      <w:r w:rsidRPr="00832F92">
        <w:rPr>
          <w:sz w:val="18"/>
        </w:rPr>
        <w:t>Resour</w:t>
      </w:r>
      <w:proofErr w:type="spellEnd"/>
      <w:r w:rsidRPr="00832F92">
        <w:rPr>
          <w:sz w:val="18"/>
        </w:rPr>
        <w:t>. Econ., 4(1), 27-53.</w:t>
      </w:r>
    </w:p>
    <w:p w14:paraId="6FFCE0FF" w14:textId="25DFAEC8" w:rsidR="00AD0CE8" w:rsidRPr="00832F92" w:rsidRDefault="00832F92" w:rsidP="00832F92">
      <w:pPr>
        <w:pStyle w:val="ListParagraph"/>
        <w:numPr>
          <w:ilvl w:val="0"/>
          <w:numId w:val="3"/>
        </w:numPr>
        <w:tabs>
          <w:tab w:val="left" w:pos="384"/>
        </w:tabs>
        <w:spacing w:line="216" w:lineRule="exact"/>
        <w:ind w:right="137" w:hanging="283"/>
        <w:rPr>
          <w:sz w:val="18"/>
        </w:rPr>
      </w:pPr>
      <w:r w:rsidRPr="00832F92">
        <w:rPr>
          <w:sz w:val="18"/>
        </w:rPr>
        <w:t>Zilberman, D., Lu, L., &amp; Reardon, T. (2017). Innovation-induced food supply chain design. Food Policy.</w:t>
      </w:r>
    </w:p>
    <w:p w14:paraId="46EA7630" w14:textId="77777777" w:rsidR="00AD0CE8" w:rsidRPr="00AD0CE8" w:rsidRDefault="00AD0CE8" w:rsidP="00AD0CE8">
      <w:pPr>
        <w:pStyle w:val="ListParagraph"/>
        <w:numPr>
          <w:ilvl w:val="0"/>
          <w:numId w:val="3"/>
        </w:numPr>
        <w:tabs>
          <w:tab w:val="left" w:pos="384"/>
        </w:tabs>
        <w:spacing w:line="216" w:lineRule="exact"/>
        <w:ind w:right="137" w:hanging="283"/>
        <w:rPr>
          <w:sz w:val="18"/>
        </w:rPr>
      </w:pPr>
      <w:r w:rsidRPr="00AD0CE8">
        <w:rPr>
          <w:sz w:val="18"/>
        </w:rPr>
        <w:t>Barrows, G., Sexton, S., &amp; Zilberman, D. (2014). Agricultural biotechnology: The promise and prospects of genetically modified crops. The Journal of Economic Perspectives, 28(1), 99-119.</w:t>
      </w:r>
    </w:p>
    <w:p w14:paraId="2DBB871B" w14:textId="4F788A4C" w:rsidR="00AE3E37" w:rsidRPr="00AD0CE8" w:rsidRDefault="00AE3E37" w:rsidP="00AD0CE8">
      <w:pPr>
        <w:pStyle w:val="ListParagraph"/>
        <w:numPr>
          <w:ilvl w:val="0"/>
          <w:numId w:val="3"/>
        </w:numPr>
        <w:tabs>
          <w:tab w:val="left" w:pos="384"/>
        </w:tabs>
        <w:spacing w:before="103" w:line="216" w:lineRule="exact"/>
        <w:ind w:right="138" w:hanging="283"/>
        <w:rPr>
          <w:sz w:val="18"/>
        </w:rPr>
        <w:sectPr w:rsidR="00AE3E37" w:rsidRPr="00AD0CE8">
          <w:type w:val="continuous"/>
          <w:pgSz w:w="11910" w:h="16840"/>
          <w:pgMar w:top="1740" w:right="600" w:bottom="840" w:left="620" w:header="720" w:footer="720" w:gutter="0"/>
          <w:cols w:num="2" w:space="720" w:equalWidth="0">
            <w:col w:w="5214" w:space="138"/>
            <w:col w:w="5338"/>
          </w:cols>
        </w:sectPr>
      </w:pPr>
    </w:p>
    <w:p w14:paraId="0E3AE137" w14:textId="77777777" w:rsidR="00AE3E37" w:rsidRDefault="00AE3E37">
      <w:pPr>
        <w:pStyle w:val="BodyText"/>
        <w:rPr>
          <w:rFonts w:ascii="Calibri"/>
          <w:sz w:val="20"/>
        </w:rPr>
      </w:pPr>
    </w:p>
    <w:p w14:paraId="03DEBC9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77E8233" wp14:editId="2B55BD7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2F6D7BC" w14:textId="582E0403" w:rsidR="00AE3E37" w:rsidRDefault="00832F92"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50D92B7" w14:textId="77777777" w:rsidR="00832F92" w:rsidRPr="00832F92" w:rsidRDefault="00832F92" w:rsidP="00832F92">
      <w:pPr>
        <w:rPr>
          <w:rFonts w:ascii="Arial" w:hAnsi="Arial" w:cs="Arial"/>
          <w:sz w:val="18"/>
          <w:szCs w:val="18"/>
        </w:rPr>
      </w:pPr>
      <w:r w:rsidRPr="00832F92">
        <w:rPr>
          <w:rFonts w:ascii="Arial" w:hAnsi="Arial" w:cs="Arial"/>
          <w:b/>
          <w:bCs/>
          <w:sz w:val="18"/>
          <w:szCs w:val="18"/>
        </w:rPr>
        <w:t xml:space="preserve">DAVID ZILBERMAN </w:t>
      </w:r>
      <w:r w:rsidRPr="00832F92">
        <w:rPr>
          <w:rFonts w:ascii="Arial" w:hAnsi="Arial" w:cs="Arial"/>
          <w:sz w:val="18"/>
          <w:szCs w:val="18"/>
        </w:rPr>
        <w:t xml:space="preserve">is a Professor and holds the Robinson Chair in the Department of Agricultural and Resource Economics, University of California at Berkeley.  Dr. Zilberman’s areas of expertise include agricultural and environmental policy, water, marketing, risk management, the economics of innovation, natural resources, biotechnology, and biofuels, and he published over </w:t>
      </w:r>
      <w:hyperlink r:id="rId9" w:history="1">
        <w:r w:rsidRPr="00832F92">
          <w:rPr>
            <w:rStyle w:val="Hyperlink"/>
            <w:rFonts w:ascii="Arial" w:hAnsi="Arial" w:cs="Arial"/>
            <w:sz w:val="18"/>
            <w:szCs w:val="18"/>
          </w:rPr>
          <w:t>350 refereed papers and 20 books</w:t>
        </w:r>
      </w:hyperlink>
      <w:r w:rsidRPr="00832F92">
        <w:rPr>
          <w:rFonts w:ascii="Arial" w:hAnsi="Arial" w:cs="Arial"/>
          <w:sz w:val="18"/>
          <w:szCs w:val="18"/>
        </w:rPr>
        <w:t xml:space="preserve"> in the professional literature and in the popular </w:t>
      </w:r>
      <w:hyperlink r:id="rId10" w:history="1">
        <w:r w:rsidRPr="00832F92">
          <w:rPr>
            <w:rStyle w:val="Hyperlink"/>
            <w:rFonts w:ascii="Arial" w:hAnsi="Arial" w:cs="Arial"/>
            <w:sz w:val="18"/>
            <w:szCs w:val="18"/>
          </w:rPr>
          <w:t>media</w:t>
        </w:r>
      </w:hyperlink>
      <w:r w:rsidRPr="00832F92">
        <w:rPr>
          <w:rFonts w:ascii="Arial" w:hAnsi="Arial" w:cs="Arial"/>
          <w:sz w:val="18"/>
          <w:szCs w:val="18"/>
        </w:rPr>
        <w:t xml:space="preserve">.  He is President-Elect of the Agricultural &amp; Applied Economics Association (AAEA) and Fellow of AAEA and the Association of Environmental and Resource Economists. He has served as a Consultant to the US EPA, USDA, World Bank, FAO, and OECD, among others. He is the Co-Founder of the International Water Resource Economics Consortium and the International Consortium of Applied Bioeconomy Research and the founding director of the </w:t>
      </w:r>
      <w:proofErr w:type="spellStart"/>
      <w:r w:rsidRPr="00832F92">
        <w:rPr>
          <w:rFonts w:ascii="Arial" w:hAnsi="Arial" w:cs="Arial"/>
          <w:sz w:val="18"/>
          <w:szCs w:val="18"/>
        </w:rPr>
        <w:t>Beahrs</w:t>
      </w:r>
      <w:proofErr w:type="spellEnd"/>
      <w:r w:rsidRPr="00832F92">
        <w:rPr>
          <w:rFonts w:ascii="Arial" w:hAnsi="Arial" w:cs="Arial"/>
          <w:sz w:val="18"/>
          <w:szCs w:val="18"/>
        </w:rPr>
        <w:t xml:space="preserve"> Environmental Leadership Program and Masters of Development Practice at Berkeley.</w:t>
      </w:r>
    </w:p>
    <w:p w14:paraId="17984236" w14:textId="788EAB17" w:rsidR="00AE3E37" w:rsidRDefault="00A9710C" w:rsidP="00832F92">
      <w:pPr>
        <w:spacing w:before="62"/>
        <w:ind w:left="4217" w:right="4235"/>
        <w:jc w:val="center"/>
        <w:rPr>
          <w:rFonts w:ascii="Arial"/>
          <w:sz w:val="14"/>
        </w:rPr>
      </w:pPr>
      <w:r>
        <w:rPr>
          <w:rFonts w:ascii="Arial"/>
          <w:sz w:val="14"/>
        </w:rPr>
        <w:t xml:space="preserve">Email: </w:t>
      </w:r>
      <w:hyperlink r:id="rId11" w:history="1">
        <w:r w:rsidR="00832F92">
          <w:rPr>
            <w:rStyle w:val="Hyperlink"/>
            <w:rFonts w:ascii="Arial"/>
            <w:sz w:val="14"/>
          </w:rPr>
          <w:t>zilber11@berkeley.edu</w:t>
        </w:r>
      </w:hyperlink>
    </w:p>
    <w:p w14:paraId="4730CFF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4A29339" wp14:editId="4BF6D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6A6C8A4" w14:textId="77777777" w:rsidR="00AE3E37" w:rsidRDefault="00AE3E37">
      <w:pPr>
        <w:pStyle w:val="BodyText"/>
        <w:rPr>
          <w:rFonts w:ascii="Arial"/>
          <w:sz w:val="20"/>
        </w:rPr>
      </w:pPr>
    </w:p>
    <w:p w14:paraId="376BFEDD" w14:textId="77777777" w:rsidR="00AE3E37" w:rsidRDefault="00AE3E37">
      <w:pPr>
        <w:pStyle w:val="BodyText"/>
        <w:rPr>
          <w:rFonts w:ascii="Arial"/>
          <w:sz w:val="20"/>
        </w:rPr>
      </w:pPr>
    </w:p>
    <w:p w14:paraId="267BF1A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14:paraId="7BF29DFB" w14:textId="77777777" w:rsidR="00AE3E37" w:rsidRDefault="00AE3E37">
      <w:pPr>
        <w:pStyle w:val="BodyText"/>
        <w:spacing w:before="3"/>
        <w:rPr>
          <w:rFonts w:ascii="Minion Pro"/>
          <w:sz w:val="26"/>
        </w:rPr>
      </w:pPr>
    </w:p>
    <w:p w14:paraId="144687AC" w14:textId="77777777" w:rsidR="00832F92" w:rsidRDefault="00832F92">
      <w:pPr>
        <w:rPr>
          <w:rFonts w:asciiTheme="minorHAnsi" w:eastAsiaTheme="minorHAnsi" w:hAnsiTheme="minorHAnsi" w:cstheme="minorBidi"/>
        </w:rPr>
      </w:pPr>
    </w:p>
    <w:sectPr w:rsidR="00832F9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A5DE80" w14:textId="77777777" w:rsidR="009C179F" w:rsidRDefault="009C179F">
      <w:r>
        <w:separator/>
      </w:r>
    </w:p>
  </w:endnote>
  <w:endnote w:type="continuationSeparator" w:id="0">
    <w:p w14:paraId="375EB92B" w14:textId="77777777" w:rsidR="009C179F" w:rsidRDefault="009C1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6EFE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1A81EF9" wp14:editId="09B920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7E6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0234C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81EF9"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25B7E6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0234C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E1FE959" wp14:editId="4947CC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5798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B4CED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FE95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4C25798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B4CED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28D98E1" wp14:editId="6D2EE87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79B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163A21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D98E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5379BE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163A21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E5EF21" w14:textId="77777777" w:rsidR="009C179F" w:rsidRDefault="009C179F">
      <w:r>
        <w:separator/>
      </w:r>
    </w:p>
  </w:footnote>
  <w:footnote w:type="continuationSeparator" w:id="0">
    <w:p w14:paraId="74A9242B" w14:textId="77777777" w:rsidR="009C179F" w:rsidRDefault="009C179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F378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20E1C7D" wp14:editId="6267B45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84F2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0E1C7D"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3B984F2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F7F1C2B" wp14:editId="0A6862E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59EC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A88DC5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F1C2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69659EC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A88DC5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2"/>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7417"/>
    <w:rsid w:val="00284D56"/>
    <w:rsid w:val="00292ED9"/>
    <w:rsid w:val="00404E5B"/>
    <w:rsid w:val="00414F7B"/>
    <w:rsid w:val="004355DC"/>
    <w:rsid w:val="004749B4"/>
    <w:rsid w:val="00494130"/>
    <w:rsid w:val="004F3523"/>
    <w:rsid w:val="0056509E"/>
    <w:rsid w:val="005973B9"/>
    <w:rsid w:val="005B3A56"/>
    <w:rsid w:val="006060CE"/>
    <w:rsid w:val="0062351B"/>
    <w:rsid w:val="0063497F"/>
    <w:rsid w:val="00756308"/>
    <w:rsid w:val="007B5CB7"/>
    <w:rsid w:val="00832F92"/>
    <w:rsid w:val="00873DF0"/>
    <w:rsid w:val="008756E6"/>
    <w:rsid w:val="008D4E9D"/>
    <w:rsid w:val="009B2D44"/>
    <w:rsid w:val="009C179F"/>
    <w:rsid w:val="00A07E82"/>
    <w:rsid w:val="00A67F73"/>
    <w:rsid w:val="00A9710C"/>
    <w:rsid w:val="00AD0CE8"/>
    <w:rsid w:val="00AE3E37"/>
    <w:rsid w:val="00B21A57"/>
    <w:rsid w:val="00B3458C"/>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C91C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756308"/>
  </w:style>
  <w:style w:type="character" w:styleId="FollowedHyperlink">
    <w:name w:val="FollowedHyperlink"/>
    <w:basedOn w:val="DefaultParagraphFont"/>
    <w:uiPriority w:val="99"/>
    <w:semiHidden/>
    <w:unhideWhenUsed/>
    <w:rsid w:val="00832F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6399531">
      <w:bodyDiv w:val="1"/>
      <w:marLeft w:val="0"/>
      <w:marRight w:val="0"/>
      <w:marTop w:val="0"/>
      <w:marBottom w:val="0"/>
      <w:divBdr>
        <w:top w:val="none" w:sz="0" w:space="0" w:color="auto"/>
        <w:left w:val="none" w:sz="0" w:space="0" w:color="auto"/>
        <w:bottom w:val="none" w:sz="0" w:space="0" w:color="auto"/>
        <w:right w:val="none" w:sz="0" w:space="0" w:color="auto"/>
      </w:divBdr>
    </w:div>
    <w:div w:id="767965739">
      <w:bodyDiv w:val="1"/>
      <w:marLeft w:val="0"/>
      <w:marRight w:val="0"/>
      <w:marTop w:val="0"/>
      <w:marBottom w:val="0"/>
      <w:divBdr>
        <w:top w:val="none" w:sz="0" w:space="0" w:color="auto"/>
        <w:left w:val="none" w:sz="0" w:space="0" w:color="auto"/>
        <w:bottom w:val="none" w:sz="0" w:space="0" w:color="auto"/>
        <w:right w:val="none" w:sz="0" w:space="0" w:color="auto"/>
      </w:divBdr>
    </w:div>
    <w:div w:id="940379100">
      <w:bodyDiv w:val="1"/>
      <w:marLeft w:val="0"/>
      <w:marRight w:val="0"/>
      <w:marTop w:val="0"/>
      <w:marBottom w:val="0"/>
      <w:divBdr>
        <w:top w:val="none" w:sz="0" w:space="0" w:color="auto"/>
        <w:left w:val="none" w:sz="0" w:space="0" w:color="auto"/>
        <w:bottom w:val="none" w:sz="0" w:space="0" w:color="auto"/>
        <w:right w:val="none" w:sz="0" w:space="0" w:color="auto"/>
      </w:divBdr>
    </w:div>
    <w:div w:id="973407512">
      <w:bodyDiv w:val="1"/>
      <w:marLeft w:val="0"/>
      <w:marRight w:val="0"/>
      <w:marTop w:val="0"/>
      <w:marBottom w:val="0"/>
      <w:divBdr>
        <w:top w:val="none" w:sz="0" w:space="0" w:color="auto"/>
        <w:left w:val="none" w:sz="0" w:space="0" w:color="auto"/>
        <w:bottom w:val="none" w:sz="0" w:space="0" w:color="auto"/>
        <w:right w:val="none" w:sz="0" w:space="0" w:color="auto"/>
      </w:divBdr>
    </w:div>
    <w:div w:id="1088039978">
      <w:bodyDiv w:val="1"/>
      <w:marLeft w:val="0"/>
      <w:marRight w:val="0"/>
      <w:marTop w:val="0"/>
      <w:marBottom w:val="0"/>
      <w:divBdr>
        <w:top w:val="none" w:sz="0" w:space="0" w:color="auto"/>
        <w:left w:val="none" w:sz="0" w:space="0" w:color="auto"/>
        <w:bottom w:val="none" w:sz="0" w:space="0" w:color="auto"/>
        <w:right w:val="none" w:sz="0" w:space="0" w:color="auto"/>
      </w:divBdr>
    </w:div>
    <w:div w:id="1112431354">
      <w:bodyDiv w:val="1"/>
      <w:marLeft w:val="0"/>
      <w:marRight w:val="0"/>
      <w:marTop w:val="0"/>
      <w:marBottom w:val="0"/>
      <w:divBdr>
        <w:top w:val="none" w:sz="0" w:space="0" w:color="auto"/>
        <w:left w:val="none" w:sz="0" w:space="0" w:color="auto"/>
        <w:bottom w:val="none" w:sz="0" w:space="0" w:color="auto"/>
        <w:right w:val="none" w:sz="0" w:space="0" w:color="auto"/>
      </w:divBdr>
    </w:div>
    <w:div w:id="144815944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8634543">
      <w:bodyDiv w:val="1"/>
      <w:marLeft w:val="0"/>
      <w:marRight w:val="0"/>
      <w:marTop w:val="0"/>
      <w:marBottom w:val="0"/>
      <w:divBdr>
        <w:top w:val="none" w:sz="0" w:space="0" w:color="auto"/>
        <w:left w:val="none" w:sz="0" w:space="0" w:color="auto"/>
        <w:bottom w:val="none" w:sz="0" w:space="0" w:color="auto"/>
        <w:right w:val="none" w:sz="0" w:space="0" w:color="auto"/>
      </w:divBdr>
    </w:div>
    <w:div w:id="1866090935">
      <w:bodyDiv w:val="1"/>
      <w:marLeft w:val="0"/>
      <w:marRight w:val="0"/>
      <w:marTop w:val="0"/>
      <w:marBottom w:val="0"/>
      <w:divBdr>
        <w:top w:val="none" w:sz="0" w:space="0" w:color="auto"/>
        <w:left w:val="none" w:sz="0" w:space="0" w:color="auto"/>
        <w:bottom w:val="none" w:sz="0" w:space="0" w:color="auto"/>
        <w:right w:val="none" w:sz="0" w:space="0" w:color="auto"/>
      </w:divBdr>
    </w:div>
    <w:div w:id="198989955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https://scholar.google.com/citations?user=DhU5JswAAAAJ&amp;hl=en&amp;oi=ao" TargetMode="External"/><Relationship Id="rId10" Type="http://schemas.openxmlformats.org/officeDocument/2006/relationships/hyperlink" Target="http://blogs.berkeley.edu/author/dzilberman/"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479</Words>
  <Characters>2735</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4</cp:revision>
  <dcterms:created xsi:type="dcterms:W3CDTF">2017-10-06T21:48:00Z</dcterms:created>
  <dcterms:modified xsi:type="dcterms:W3CDTF">2017-10-06T22:20:00Z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