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C2D" w:rsidRDefault="00513C2D" w:rsidP="008B0D1E">
      <w:pPr>
        <w:ind w:left="720"/>
        <w:jc w:val="center"/>
        <w:rPr>
          <w:rFonts w:ascii="Times New Roman" w:hAnsi="Times New Roman" w:cs="Times New Roman"/>
          <w:b/>
          <w:sz w:val="24"/>
          <w:szCs w:val="24"/>
        </w:rPr>
      </w:pPr>
    </w:p>
    <w:p w:rsidR="00ED4E30" w:rsidRPr="00CB57E7" w:rsidRDefault="008B0D1E" w:rsidP="008B0D1E">
      <w:pPr>
        <w:ind w:left="720"/>
        <w:jc w:val="center"/>
        <w:rPr>
          <w:rFonts w:ascii="Times New Roman" w:hAnsi="Times New Roman" w:cs="Times New Roman"/>
          <w:b/>
          <w:sz w:val="24"/>
          <w:szCs w:val="24"/>
        </w:rPr>
      </w:pPr>
      <w:r w:rsidRPr="00CB57E7">
        <w:rPr>
          <w:rFonts w:ascii="Times New Roman" w:hAnsi="Times New Roman" w:cs="Times New Roman"/>
          <w:b/>
          <w:sz w:val="24"/>
          <w:szCs w:val="24"/>
        </w:rPr>
        <w:t>Molecular profil</w:t>
      </w:r>
      <w:r w:rsidR="00CB57E7" w:rsidRPr="00CB57E7">
        <w:rPr>
          <w:rFonts w:ascii="Times New Roman" w:hAnsi="Times New Roman" w:cs="Times New Roman"/>
          <w:b/>
          <w:sz w:val="24"/>
          <w:szCs w:val="24"/>
        </w:rPr>
        <w:t>es</w:t>
      </w:r>
      <w:r w:rsidRPr="00CB57E7">
        <w:rPr>
          <w:rFonts w:ascii="Times New Roman" w:hAnsi="Times New Roman" w:cs="Times New Roman"/>
          <w:b/>
          <w:sz w:val="24"/>
          <w:szCs w:val="24"/>
        </w:rPr>
        <w:t xml:space="preserve"> of </w:t>
      </w:r>
      <w:r w:rsidR="00CB57E7" w:rsidRPr="00CB57E7">
        <w:rPr>
          <w:rFonts w:ascii="Times New Roman" w:hAnsi="Times New Roman" w:cs="Times New Roman"/>
          <w:b/>
          <w:sz w:val="24"/>
          <w:szCs w:val="24"/>
        </w:rPr>
        <w:t>diploid and triploid</w:t>
      </w:r>
      <w:r w:rsidRPr="00CB57E7">
        <w:rPr>
          <w:rFonts w:ascii="Times New Roman" w:hAnsi="Times New Roman" w:cs="Times New Roman"/>
          <w:b/>
          <w:sz w:val="24"/>
          <w:szCs w:val="24"/>
        </w:rPr>
        <w:t xml:space="preserve"> cytotypes </w:t>
      </w:r>
      <w:r w:rsidR="00CB57E7">
        <w:rPr>
          <w:rFonts w:ascii="Times New Roman" w:hAnsi="Times New Roman" w:cs="Times New Roman"/>
          <w:b/>
          <w:sz w:val="24"/>
          <w:szCs w:val="24"/>
        </w:rPr>
        <w:t>of</w:t>
      </w:r>
      <w:r w:rsidRPr="00CB57E7">
        <w:rPr>
          <w:rFonts w:ascii="Times New Roman" w:hAnsi="Times New Roman" w:cs="Times New Roman"/>
          <w:b/>
          <w:sz w:val="24"/>
          <w:szCs w:val="24"/>
        </w:rPr>
        <w:t xml:space="preserve"> </w:t>
      </w:r>
      <w:r w:rsidRPr="00CB57E7">
        <w:rPr>
          <w:rFonts w:ascii="Times New Roman" w:hAnsi="Times New Roman" w:cs="Times New Roman"/>
          <w:b/>
          <w:i/>
          <w:sz w:val="24"/>
          <w:szCs w:val="24"/>
        </w:rPr>
        <w:t>Acorus calamus</w:t>
      </w:r>
      <w:r w:rsidRPr="00CB57E7">
        <w:rPr>
          <w:rFonts w:ascii="Times New Roman" w:hAnsi="Times New Roman" w:cs="Times New Roman"/>
          <w:b/>
          <w:sz w:val="24"/>
          <w:szCs w:val="24"/>
        </w:rPr>
        <w:t xml:space="preserve"> Linn.</w:t>
      </w:r>
    </w:p>
    <w:p w:rsidR="008B0D1E" w:rsidRPr="00CB57E7" w:rsidRDefault="008B0D1E" w:rsidP="008B0D1E">
      <w:pPr>
        <w:spacing w:after="0" w:line="240" w:lineRule="auto"/>
        <w:ind w:left="720"/>
        <w:jc w:val="center"/>
        <w:rPr>
          <w:rFonts w:ascii="Times New Roman" w:hAnsi="Times New Roman" w:cs="Times New Roman"/>
          <w:sz w:val="20"/>
          <w:szCs w:val="20"/>
        </w:rPr>
      </w:pPr>
      <w:r w:rsidRPr="00CB57E7">
        <w:rPr>
          <w:rFonts w:ascii="Times New Roman" w:hAnsi="Times New Roman" w:cs="Times New Roman"/>
          <w:sz w:val="20"/>
          <w:szCs w:val="20"/>
        </w:rPr>
        <w:t>G. J. Sharma</w:t>
      </w:r>
    </w:p>
    <w:p w:rsidR="008B0D1E" w:rsidRPr="00CB57E7" w:rsidRDefault="008B0D1E" w:rsidP="008B0D1E">
      <w:pPr>
        <w:spacing w:after="0" w:line="240" w:lineRule="auto"/>
        <w:ind w:left="720"/>
        <w:jc w:val="center"/>
        <w:rPr>
          <w:rFonts w:ascii="Times New Roman" w:hAnsi="Times New Roman" w:cs="Times New Roman"/>
          <w:sz w:val="20"/>
          <w:szCs w:val="20"/>
        </w:rPr>
      </w:pPr>
      <w:r w:rsidRPr="00CB57E7">
        <w:rPr>
          <w:rFonts w:ascii="Times New Roman" w:hAnsi="Times New Roman" w:cs="Times New Roman"/>
          <w:sz w:val="20"/>
          <w:szCs w:val="20"/>
        </w:rPr>
        <w:t>Department of Life Sciences, Manipur University, Imphal 795003, India</w:t>
      </w:r>
    </w:p>
    <w:p w:rsidR="008B0D1E" w:rsidRDefault="008B0D1E" w:rsidP="008B0D1E">
      <w:pPr>
        <w:spacing w:after="0" w:line="240" w:lineRule="auto"/>
        <w:ind w:left="720"/>
        <w:jc w:val="center"/>
        <w:rPr>
          <w:rFonts w:ascii="Times New Roman" w:hAnsi="Times New Roman" w:cs="Times New Roman"/>
        </w:rPr>
      </w:pPr>
    </w:p>
    <w:p w:rsidR="00513C2D" w:rsidRDefault="00513C2D" w:rsidP="008B0D1E">
      <w:pPr>
        <w:spacing w:after="0" w:line="240" w:lineRule="auto"/>
        <w:ind w:left="720"/>
        <w:jc w:val="center"/>
        <w:rPr>
          <w:rFonts w:ascii="Times New Roman" w:hAnsi="Times New Roman" w:cs="Times New Roman"/>
        </w:rPr>
      </w:pPr>
    </w:p>
    <w:p w:rsidR="008B0D1E" w:rsidRPr="00513C2D" w:rsidRDefault="008B0D1E" w:rsidP="008B0D1E">
      <w:pPr>
        <w:spacing w:after="0" w:line="240" w:lineRule="auto"/>
        <w:ind w:left="720"/>
        <w:jc w:val="center"/>
        <w:rPr>
          <w:rFonts w:ascii="Times New Roman" w:hAnsi="Times New Roman" w:cs="Times New Roman"/>
          <w:b/>
          <w:u w:val="single"/>
        </w:rPr>
      </w:pPr>
      <w:r w:rsidRPr="00513C2D">
        <w:rPr>
          <w:rFonts w:ascii="Times New Roman" w:hAnsi="Times New Roman" w:cs="Times New Roman"/>
          <w:b/>
          <w:u w:val="single"/>
        </w:rPr>
        <w:t>Abstract</w:t>
      </w:r>
    </w:p>
    <w:p w:rsidR="00CB57E7" w:rsidRPr="008B0D1E" w:rsidRDefault="00CB57E7" w:rsidP="008B0D1E">
      <w:pPr>
        <w:spacing w:after="0" w:line="240" w:lineRule="auto"/>
        <w:ind w:left="720"/>
        <w:jc w:val="center"/>
        <w:rPr>
          <w:rFonts w:ascii="Times New Roman" w:hAnsi="Times New Roman" w:cs="Times New Roman"/>
          <w:u w:val="single"/>
        </w:rPr>
      </w:pPr>
    </w:p>
    <w:p w:rsidR="008B0D1E" w:rsidRPr="008B0D1E" w:rsidRDefault="008B0D1E" w:rsidP="008B0D1E">
      <w:pPr>
        <w:spacing w:after="0" w:line="240" w:lineRule="auto"/>
        <w:ind w:left="720"/>
        <w:jc w:val="both"/>
        <w:rPr>
          <w:rFonts w:ascii="Times New Roman" w:hAnsi="Times New Roman" w:cs="Times New Roman"/>
        </w:rPr>
      </w:pPr>
      <w:r w:rsidRPr="008B0D1E">
        <w:rPr>
          <w:rFonts w:ascii="Times New Roman" w:hAnsi="Times New Roman" w:cs="Times New Roman"/>
          <w:i/>
        </w:rPr>
        <w:t>Acorus calamus</w:t>
      </w:r>
      <w:r w:rsidRPr="008B0D1E">
        <w:rPr>
          <w:rFonts w:ascii="Times New Roman" w:hAnsi="Times New Roman" w:cs="Times New Roman"/>
        </w:rPr>
        <w:t xml:space="preserve"> Linn. (Family: Acoraceae) commonly known as sweet flag or sweet grass is an important perennial medicinal plant widely used in Indian System of Traditional Medicine </w:t>
      </w:r>
      <w:r w:rsidR="003A7B6B">
        <w:rPr>
          <w:rFonts w:ascii="Times New Roman" w:hAnsi="Times New Roman" w:cs="Times New Roman"/>
        </w:rPr>
        <w:t xml:space="preserve">(ISTM) </w:t>
      </w:r>
      <w:r w:rsidRPr="008B0D1E">
        <w:rPr>
          <w:rFonts w:ascii="Times New Roman" w:hAnsi="Times New Roman" w:cs="Times New Roman"/>
        </w:rPr>
        <w:t xml:space="preserve">since times immemorial. Four cytotypes, </w:t>
      </w:r>
      <w:r w:rsidRPr="008B0D1E">
        <w:rPr>
          <w:rFonts w:ascii="Times New Roman" w:hAnsi="Times New Roman" w:cs="Times New Roman"/>
          <w:i/>
        </w:rPr>
        <w:t>viz</w:t>
      </w:r>
      <w:r w:rsidRPr="008B0D1E">
        <w:rPr>
          <w:rFonts w:ascii="Times New Roman" w:hAnsi="Times New Roman" w:cs="Times New Roman"/>
        </w:rPr>
        <w:t xml:space="preserve">., diploid (2n=2x=24), triploid (2n=3x=36), tetraploid (2n=4x=48) and hexaploid (2n=6x=72) are found world-wide, of which, only two cytotypes, </w:t>
      </w:r>
      <w:r w:rsidRPr="008B0D1E">
        <w:rPr>
          <w:rFonts w:ascii="Times New Roman" w:hAnsi="Times New Roman" w:cs="Times New Roman"/>
          <w:i/>
        </w:rPr>
        <w:t>viz</w:t>
      </w:r>
      <w:r w:rsidRPr="008B0D1E">
        <w:rPr>
          <w:rFonts w:ascii="Times New Roman" w:hAnsi="Times New Roman" w:cs="Times New Roman"/>
        </w:rPr>
        <w:t xml:space="preserve">., diploid and triploid </w:t>
      </w:r>
      <w:r w:rsidR="00371B24">
        <w:rPr>
          <w:rFonts w:ascii="Times New Roman" w:hAnsi="Times New Roman" w:cs="Times New Roman"/>
        </w:rPr>
        <w:t xml:space="preserve">cytotypes </w:t>
      </w:r>
      <w:r w:rsidRPr="008B0D1E">
        <w:rPr>
          <w:rFonts w:ascii="Times New Roman" w:hAnsi="Times New Roman" w:cs="Times New Roman"/>
        </w:rPr>
        <w:t>are found in Manipur, North-</w:t>
      </w:r>
      <w:r w:rsidR="00371B24">
        <w:rPr>
          <w:rFonts w:ascii="Times New Roman" w:hAnsi="Times New Roman" w:cs="Times New Roman"/>
        </w:rPr>
        <w:t>E</w:t>
      </w:r>
      <w:r w:rsidRPr="008B0D1E">
        <w:rPr>
          <w:rFonts w:ascii="Times New Roman" w:hAnsi="Times New Roman" w:cs="Times New Roman"/>
        </w:rPr>
        <w:t>ast India. Different cytotypes show great morphological variabilities and wide variations in chemical composition of essential oils in the rhizomes and leaves. These cytotypes</w:t>
      </w:r>
      <w:r w:rsidR="003318D3">
        <w:rPr>
          <w:rFonts w:ascii="Times New Roman" w:hAnsi="Times New Roman" w:cs="Times New Roman"/>
        </w:rPr>
        <w:t>, as evident from</w:t>
      </w:r>
      <w:r w:rsidRPr="008B0D1E">
        <w:rPr>
          <w:rFonts w:ascii="Times New Roman" w:hAnsi="Times New Roman" w:cs="Times New Roman"/>
        </w:rPr>
        <w:t xml:space="preserve"> literature survey, are </w:t>
      </w:r>
      <w:r w:rsidR="003A7B6B">
        <w:rPr>
          <w:rFonts w:ascii="Times New Roman" w:hAnsi="Times New Roman" w:cs="Times New Roman"/>
        </w:rPr>
        <w:t xml:space="preserve">extensively </w:t>
      </w:r>
      <w:r w:rsidRPr="008B0D1E">
        <w:rPr>
          <w:rFonts w:ascii="Times New Roman" w:hAnsi="Times New Roman" w:cs="Times New Roman"/>
        </w:rPr>
        <w:t xml:space="preserve">used for their anti-spasmodic, anti-diarrhoeic, carminative, anti-helminthic, anti-depressant and CNS anxiolytic properties, as tonic, stimulant and aphrodisiac, for treating rheumatism, toothache and respiratory ailments. The aromatic oils are used for flavoring alcoholic beverages and as fragrances in perfumes and sacred oils. The crude extract can prevent acrylamide-induced limb paralysis, decreased glutathione content and glutathione transferase activity, and increased dopamine receptor in corpus striatum, possess anti-oxidant properties, prevent noise stress-induced changes in rat brain and significant hypolipidemic activities. Bioactive compounds present in </w:t>
      </w:r>
      <w:r w:rsidRPr="008B0D1E">
        <w:rPr>
          <w:rFonts w:ascii="Times New Roman" w:hAnsi="Times New Roman" w:cs="Times New Roman"/>
          <w:i/>
        </w:rPr>
        <w:t>Acorus calamus</w:t>
      </w:r>
      <w:r w:rsidRPr="008B0D1E">
        <w:rPr>
          <w:rFonts w:ascii="Times New Roman" w:hAnsi="Times New Roman" w:cs="Times New Roman"/>
        </w:rPr>
        <w:t xml:space="preserve"> </w:t>
      </w:r>
      <w:r w:rsidR="008507CB">
        <w:rPr>
          <w:rFonts w:ascii="Times New Roman" w:hAnsi="Times New Roman" w:cs="Times New Roman"/>
        </w:rPr>
        <w:t xml:space="preserve">Linn. </w:t>
      </w:r>
      <w:r w:rsidRPr="008B0D1E">
        <w:rPr>
          <w:rFonts w:ascii="Times New Roman" w:hAnsi="Times New Roman" w:cs="Times New Roman"/>
        </w:rPr>
        <w:t xml:space="preserve">are acorin, α- and β-asarone, asaryldehyde, caryophylene, isoasarone, methyl isoeugenol and safrol. </w:t>
      </w:r>
      <w:r w:rsidR="008507CB">
        <w:rPr>
          <w:rFonts w:ascii="Times New Roman" w:hAnsi="Times New Roman" w:cs="Times New Roman"/>
        </w:rPr>
        <w:t>T</w:t>
      </w:r>
      <w:r w:rsidRPr="008B0D1E">
        <w:rPr>
          <w:rFonts w:ascii="Times New Roman" w:hAnsi="Times New Roman" w:cs="Times New Roman"/>
        </w:rPr>
        <w:t xml:space="preserve">he content of β-asarone </w:t>
      </w:r>
      <w:r w:rsidR="00FA310B">
        <w:rPr>
          <w:rFonts w:ascii="Times New Roman" w:hAnsi="Times New Roman" w:cs="Times New Roman"/>
        </w:rPr>
        <w:t>(</w:t>
      </w:r>
      <w:r w:rsidR="00FA310B" w:rsidRPr="008B0D1E">
        <w:rPr>
          <w:rFonts w:ascii="Times New Roman" w:hAnsi="Times New Roman" w:cs="Times New Roman"/>
        </w:rPr>
        <w:t xml:space="preserve">known </w:t>
      </w:r>
      <w:r w:rsidR="00FA310B">
        <w:rPr>
          <w:rFonts w:ascii="Times New Roman" w:hAnsi="Times New Roman" w:cs="Times New Roman"/>
        </w:rPr>
        <w:t>to</w:t>
      </w:r>
      <w:r w:rsidR="00FA310B" w:rsidRPr="008B0D1E">
        <w:rPr>
          <w:rFonts w:ascii="Times New Roman" w:hAnsi="Times New Roman" w:cs="Times New Roman"/>
        </w:rPr>
        <w:t xml:space="preserve"> cause chromosomal aberration, mutation and various types of cancer</w:t>
      </w:r>
      <w:r w:rsidR="00FA310B">
        <w:rPr>
          <w:rFonts w:ascii="Times New Roman" w:hAnsi="Times New Roman" w:cs="Times New Roman"/>
        </w:rPr>
        <w:t xml:space="preserve">) </w:t>
      </w:r>
      <w:r w:rsidR="008507CB">
        <w:rPr>
          <w:rFonts w:ascii="Times New Roman" w:hAnsi="Times New Roman" w:cs="Times New Roman"/>
        </w:rPr>
        <w:t xml:space="preserve">is found to </w:t>
      </w:r>
      <w:r w:rsidRPr="008B0D1E">
        <w:rPr>
          <w:rFonts w:ascii="Times New Roman" w:hAnsi="Times New Roman" w:cs="Times New Roman"/>
        </w:rPr>
        <w:t>var</w:t>
      </w:r>
      <w:r w:rsidR="008507CB">
        <w:rPr>
          <w:rFonts w:ascii="Times New Roman" w:hAnsi="Times New Roman" w:cs="Times New Roman"/>
        </w:rPr>
        <w:t>y</w:t>
      </w:r>
      <w:r w:rsidRPr="008B0D1E">
        <w:rPr>
          <w:rFonts w:ascii="Times New Roman" w:hAnsi="Times New Roman" w:cs="Times New Roman"/>
        </w:rPr>
        <w:t xml:space="preserve"> with </w:t>
      </w:r>
      <w:r w:rsidR="008507CB">
        <w:rPr>
          <w:rFonts w:ascii="Times New Roman" w:hAnsi="Times New Roman" w:cs="Times New Roman"/>
        </w:rPr>
        <w:t xml:space="preserve">the </w:t>
      </w:r>
      <w:r w:rsidRPr="008B0D1E">
        <w:rPr>
          <w:rFonts w:ascii="Times New Roman" w:hAnsi="Times New Roman" w:cs="Times New Roman"/>
        </w:rPr>
        <w:t>ploidy level. Triploid accessions investigated from Manipur contain 7-7.8%</w:t>
      </w:r>
      <w:r w:rsidR="00FA310B">
        <w:rPr>
          <w:rFonts w:ascii="Times New Roman" w:hAnsi="Times New Roman" w:cs="Times New Roman"/>
        </w:rPr>
        <w:t xml:space="preserve"> </w:t>
      </w:r>
      <w:r w:rsidRPr="008B0D1E">
        <w:rPr>
          <w:rFonts w:ascii="Times New Roman" w:hAnsi="Times New Roman" w:cs="Times New Roman"/>
        </w:rPr>
        <w:t xml:space="preserve">β-asarone as against 73-88% in tetraploid accessions from other parts of India. Since the diploid cytotype is characterized by the absence of </w:t>
      </w:r>
      <w:r w:rsidR="00FA310B">
        <w:rPr>
          <w:rFonts w:ascii="Times New Roman" w:hAnsi="Times New Roman" w:cs="Times New Roman"/>
        </w:rPr>
        <w:t xml:space="preserve"> </w:t>
      </w:r>
      <w:r w:rsidRPr="008B0D1E">
        <w:rPr>
          <w:rFonts w:ascii="Times New Roman" w:hAnsi="Times New Roman" w:cs="Times New Roman"/>
        </w:rPr>
        <w:t xml:space="preserve">β-asarone, it has attracted considerable interest in pharmaceutical industry. Traditional Chinese prescriptions suggest that </w:t>
      </w:r>
      <w:r w:rsidRPr="008B0D1E">
        <w:rPr>
          <w:rFonts w:ascii="Times New Roman" w:hAnsi="Times New Roman" w:cs="Times New Roman"/>
          <w:i/>
        </w:rPr>
        <w:t>Acorus calamus</w:t>
      </w:r>
      <w:r w:rsidRPr="008B0D1E">
        <w:rPr>
          <w:rFonts w:ascii="Times New Roman" w:hAnsi="Times New Roman" w:cs="Times New Roman"/>
        </w:rPr>
        <w:t xml:space="preserve"> </w:t>
      </w:r>
      <w:r w:rsidR="00FA310B">
        <w:rPr>
          <w:rFonts w:ascii="Times New Roman" w:hAnsi="Times New Roman" w:cs="Times New Roman"/>
        </w:rPr>
        <w:t xml:space="preserve">Linn. </w:t>
      </w:r>
      <w:r w:rsidRPr="008B0D1E">
        <w:rPr>
          <w:rFonts w:ascii="Times New Roman" w:hAnsi="Times New Roman" w:cs="Times New Roman"/>
        </w:rPr>
        <w:t>extracts possess beneficial effects on memory disorder, learning performance and anti-aging effect.</w:t>
      </w:r>
    </w:p>
    <w:p w:rsidR="008B0D1E" w:rsidRPr="008B0D1E" w:rsidRDefault="008B0D1E" w:rsidP="008B0D1E">
      <w:pPr>
        <w:spacing w:after="0" w:line="240" w:lineRule="auto"/>
        <w:ind w:left="720"/>
        <w:jc w:val="both"/>
        <w:rPr>
          <w:rFonts w:ascii="Times New Roman" w:hAnsi="Times New Roman" w:cs="Times New Roman"/>
        </w:rPr>
      </w:pPr>
    </w:p>
    <w:p w:rsidR="006B6A9F" w:rsidRDefault="008B0D1E" w:rsidP="008B0D1E">
      <w:pPr>
        <w:spacing w:after="0" w:line="240" w:lineRule="auto"/>
        <w:ind w:left="720"/>
        <w:jc w:val="both"/>
        <w:rPr>
          <w:rFonts w:ascii="Times New Roman" w:hAnsi="Times New Roman" w:cs="Times New Roman"/>
        </w:rPr>
      </w:pPr>
      <w:r w:rsidRPr="008B0D1E">
        <w:rPr>
          <w:rFonts w:ascii="Times New Roman" w:hAnsi="Times New Roman" w:cs="Times New Roman"/>
        </w:rPr>
        <w:t xml:space="preserve">We have studied diploid and triploid cytotypes, and developed clonal propagation protocols using dual-phase culture system, and also microrhizome technology as potential propagation strategies which have great relevance in meeting conservational agenda as well as sustainable developmental priorities. </w:t>
      </w:r>
      <w:r w:rsidRPr="008B0D1E">
        <w:rPr>
          <w:rFonts w:ascii="Times New Roman" w:hAnsi="Times New Roman" w:cs="Times New Roman"/>
          <w:i/>
        </w:rPr>
        <w:t>Acorus calamus</w:t>
      </w:r>
      <w:r w:rsidRPr="008B0D1E">
        <w:rPr>
          <w:rFonts w:ascii="Times New Roman" w:hAnsi="Times New Roman" w:cs="Times New Roman"/>
        </w:rPr>
        <w:t xml:space="preserve"> </w:t>
      </w:r>
      <w:r w:rsidR="00FA310B">
        <w:rPr>
          <w:rFonts w:ascii="Times New Roman" w:hAnsi="Times New Roman" w:cs="Times New Roman"/>
        </w:rPr>
        <w:t xml:space="preserve">Linn. </w:t>
      </w:r>
      <w:r w:rsidRPr="008B0D1E">
        <w:rPr>
          <w:rFonts w:ascii="Times New Roman" w:hAnsi="Times New Roman" w:cs="Times New Roman"/>
        </w:rPr>
        <w:t xml:space="preserve">accessions across 19 different populations have been investigated on the basis of ploidy level. Randomnly amplified polymorphic DNA </w:t>
      </w:r>
      <w:r w:rsidR="00846768">
        <w:rPr>
          <w:rFonts w:ascii="Times New Roman" w:hAnsi="Times New Roman" w:cs="Times New Roman"/>
        </w:rPr>
        <w:t xml:space="preserve">(RAPD) </w:t>
      </w:r>
      <w:r w:rsidRPr="008B0D1E">
        <w:rPr>
          <w:rFonts w:ascii="Times New Roman" w:hAnsi="Times New Roman" w:cs="Times New Roman"/>
        </w:rPr>
        <w:t>and inter</w:t>
      </w:r>
      <w:r w:rsidR="00846768">
        <w:rPr>
          <w:rFonts w:ascii="Times New Roman" w:hAnsi="Times New Roman" w:cs="Times New Roman"/>
        </w:rPr>
        <w:t>-</w:t>
      </w:r>
      <w:r w:rsidRPr="008B0D1E">
        <w:rPr>
          <w:rFonts w:ascii="Times New Roman" w:hAnsi="Times New Roman" w:cs="Times New Roman"/>
        </w:rPr>
        <w:t xml:space="preserve">specific sequence repeat (ISSR) molecular markers have been employed for revealing genetic variability of the species. Amplification of genomic DNAs using 32 primers yielded 238 bands of which 84 bands are polymorphic revealing 35.3% polymorphism. The average polymorphic information content obtained are 0.19 and 0.22 respectively. Marker index (RAPD 0.078; ISSR 0.106) and resolving powers (RAPD 0.22; ISSR 0.26) indicated that ISSR markers are more efficient than RAPD markers. Similarity matrix has been used to construct dendrogram based on UPGMA analysis and grouped accessions into two clusters. The dendrogram clusters the accessions as per the ploidy level. </w:t>
      </w:r>
    </w:p>
    <w:p w:rsidR="006B6A9F" w:rsidRDefault="006B6A9F" w:rsidP="008B0D1E">
      <w:pPr>
        <w:spacing w:after="0" w:line="240" w:lineRule="auto"/>
        <w:ind w:left="720"/>
        <w:jc w:val="both"/>
        <w:rPr>
          <w:rFonts w:ascii="Times New Roman" w:hAnsi="Times New Roman" w:cs="Times New Roman"/>
        </w:rPr>
      </w:pPr>
    </w:p>
    <w:sectPr w:rsidR="006B6A9F" w:rsidSect="00ED4E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7697" w:rsidRDefault="00517697" w:rsidP="006B6A9F">
      <w:pPr>
        <w:spacing w:after="0" w:line="240" w:lineRule="auto"/>
      </w:pPr>
      <w:r>
        <w:separator/>
      </w:r>
    </w:p>
  </w:endnote>
  <w:endnote w:type="continuationSeparator" w:id="1">
    <w:p w:rsidR="00517697" w:rsidRDefault="00517697" w:rsidP="006B6A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7697" w:rsidRDefault="00517697" w:rsidP="006B6A9F">
      <w:pPr>
        <w:spacing w:after="0" w:line="240" w:lineRule="auto"/>
      </w:pPr>
      <w:r>
        <w:separator/>
      </w:r>
    </w:p>
  </w:footnote>
  <w:footnote w:type="continuationSeparator" w:id="1">
    <w:p w:rsidR="00517697" w:rsidRDefault="00517697" w:rsidP="006B6A9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0D1E"/>
    <w:rsid w:val="001173F7"/>
    <w:rsid w:val="001F5D65"/>
    <w:rsid w:val="003318D3"/>
    <w:rsid w:val="00371B24"/>
    <w:rsid w:val="003A7B6B"/>
    <w:rsid w:val="00513C2D"/>
    <w:rsid w:val="00517697"/>
    <w:rsid w:val="006B6A9F"/>
    <w:rsid w:val="006B727A"/>
    <w:rsid w:val="00846768"/>
    <w:rsid w:val="008507CB"/>
    <w:rsid w:val="00856E9D"/>
    <w:rsid w:val="008B0D1E"/>
    <w:rsid w:val="00BB64A7"/>
    <w:rsid w:val="00C27A92"/>
    <w:rsid w:val="00CB57E7"/>
    <w:rsid w:val="00D17F58"/>
    <w:rsid w:val="00ED4E30"/>
    <w:rsid w:val="00FA31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E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0D1E"/>
    <w:rPr>
      <w:color w:val="0000FF" w:themeColor="hyperlink"/>
      <w:u w:val="single"/>
    </w:rPr>
  </w:style>
  <w:style w:type="paragraph" w:styleId="Header">
    <w:name w:val="header"/>
    <w:basedOn w:val="Normal"/>
    <w:link w:val="HeaderChar"/>
    <w:uiPriority w:val="99"/>
    <w:semiHidden/>
    <w:unhideWhenUsed/>
    <w:rsid w:val="006B6A9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B6A9F"/>
  </w:style>
  <w:style w:type="paragraph" w:styleId="Footer">
    <w:name w:val="footer"/>
    <w:basedOn w:val="Normal"/>
    <w:link w:val="FooterChar"/>
    <w:uiPriority w:val="99"/>
    <w:semiHidden/>
    <w:unhideWhenUsed/>
    <w:rsid w:val="006B6A9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6A9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Kishor</dc:creator>
  <cp:keywords/>
  <dc:description/>
  <cp:lastModifiedBy>Kishor</cp:lastModifiedBy>
  <cp:revision>12</cp:revision>
  <dcterms:created xsi:type="dcterms:W3CDTF">2017-08-11T08:54:00Z</dcterms:created>
  <dcterms:modified xsi:type="dcterms:W3CDTF">2017-08-19T06:41:00Z</dcterms:modified>
</cp:coreProperties>
</file>