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044" w:rsidRPr="00650044" w:rsidRDefault="00650044" w:rsidP="00650044">
      <w:pPr>
        <w:spacing w:after="0" w:line="240" w:lineRule="auto"/>
        <w:rPr>
          <w:rFonts w:ascii="Minon" w:hAnsi="Minon"/>
          <w:color w:val="17365D" w:themeColor="text2" w:themeShade="BF"/>
          <w:sz w:val="36"/>
          <w:szCs w:val="36"/>
          <w:lang w:val="en-US"/>
        </w:rPr>
      </w:pPr>
      <w:proofErr w:type="gramStart"/>
      <w:r w:rsidRPr="00650044">
        <w:rPr>
          <w:rFonts w:ascii="Minon" w:hAnsi="Minon"/>
          <w:color w:val="17365D" w:themeColor="text2" w:themeShade="BF"/>
          <w:sz w:val="36"/>
          <w:szCs w:val="36"/>
          <w:lang w:val="en-US"/>
        </w:rPr>
        <w:t xml:space="preserve">Diversity and </w:t>
      </w:r>
      <w:proofErr w:type="spellStart"/>
      <w:r w:rsidRPr="00650044">
        <w:rPr>
          <w:rFonts w:ascii="Minon" w:hAnsi="Minon"/>
          <w:color w:val="17365D" w:themeColor="text2" w:themeShade="BF"/>
          <w:sz w:val="36"/>
          <w:szCs w:val="36"/>
          <w:lang w:val="en-US"/>
        </w:rPr>
        <w:t>antimycotic</w:t>
      </w:r>
      <w:proofErr w:type="spellEnd"/>
      <w:r w:rsidRPr="00650044">
        <w:rPr>
          <w:rFonts w:ascii="Minon" w:hAnsi="Minon"/>
          <w:color w:val="17365D" w:themeColor="text2" w:themeShade="BF"/>
          <w:sz w:val="36"/>
          <w:szCs w:val="36"/>
          <w:lang w:val="en-US"/>
        </w:rPr>
        <w:t xml:space="preserve"> assays of endophytic fungi residing in medicinal plant </w:t>
      </w:r>
      <w:proofErr w:type="spellStart"/>
      <w:r w:rsidRPr="00650044">
        <w:rPr>
          <w:rFonts w:ascii="Minon" w:hAnsi="Minon"/>
          <w:i/>
          <w:color w:val="17365D" w:themeColor="text2" w:themeShade="BF"/>
          <w:sz w:val="36"/>
          <w:szCs w:val="36"/>
          <w:lang w:val="en-US"/>
        </w:rPr>
        <w:t>Mentha</w:t>
      </w:r>
      <w:proofErr w:type="spellEnd"/>
      <w:r w:rsidRPr="00650044">
        <w:rPr>
          <w:rFonts w:ascii="Minon" w:hAnsi="Minon"/>
          <w:i/>
          <w:color w:val="17365D" w:themeColor="text2" w:themeShade="BF"/>
          <w:sz w:val="36"/>
          <w:szCs w:val="36"/>
          <w:lang w:val="en-US"/>
        </w:rPr>
        <w:t xml:space="preserve"> </w:t>
      </w:r>
      <w:proofErr w:type="spellStart"/>
      <w:r w:rsidRPr="00650044">
        <w:rPr>
          <w:rFonts w:ascii="Minon" w:hAnsi="Minon"/>
          <w:i/>
          <w:color w:val="17365D" w:themeColor="text2" w:themeShade="BF"/>
          <w:sz w:val="36"/>
          <w:szCs w:val="36"/>
          <w:lang w:val="en-US"/>
        </w:rPr>
        <w:t>pipertia</w:t>
      </w:r>
      <w:proofErr w:type="spellEnd"/>
      <w:r w:rsidRPr="00650044">
        <w:rPr>
          <w:rFonts w:ascii="Minon" w:hAnsi="Minon"/>
          <w:color w:val="17365D" w:themeColor="text2" w:themeShade="BF"/>
          <w:sz w:val="36"/>
          <w:szCs w:val="36"/>
          <w:lang w:val="en-US"/>
        </w:rPr>
        <w:t xml:space="preserve"> L.</w:t>
      </w:r>
      <w:proofErr w:type="gramEnd"/>
      <w:r w:rsidRPr="00650044">
        <w:rPr>
          <w:rFonts w:ascii="Minon" w:hAnsi="Minon"/>
          <w:color w:val="17365D" w:themeColor="text2" w:themeShade="BF"/>
          <w:sz w:val="36"/>
          <w:szCs w:val="36"/>
          <w:lang w:val="en-US"/>
        </w:rPr>
        <w:t xml:space="preserve">  </w:t>
      </w:r>
      <w:proofErr w:type="gramStart"/>
      <w:r w:rsidRPr="00650044">
        <w:rPr>
          <w:rFonts w:ascii="Minon" w:hAnsi="Minon"/>
          <w:color w:val="17365D" w:themeColor="text2" w:themeShade="BF"/>
          <w:sz w:val="36"/>
          <w:szCs w:val="36"/>
          <w:lang w:val="en-US"/>
        </w:rPr>
        <w:t>reveals</w:t>
      </w:r>
      <w:proofErr w:type="gramEnd"/>
      <w:r w:rsidRPr="00650044">
        <w:rPr>
          <w:rFonts w:ascii="Minon" w:hAnsi="Minon"/>
          <w:color w:val="17365D" w:themeColor="text2" w:themeShade="BF"/>
          <w:sz w:val="36"/>
          <w:szCs w:val="36"/>
          <w:lang w:val="en-US"/>
        </w:rPr>
        <w:t xml:space="preserve"> </w:t>
      </w:r>
      <w:proofErr w:type="spellStart"/>
      <w:r w:rsidRPr="00650044">
        <w:rPr>
          <w:rFonts w:ascii="Minon" w:hAnsi="Minon"/>
          <w:i/>
          <w:color w:val="17365D" w:themeColor="text2" w:themeShade="BF"/>
          <w:sz w:val="36"/>
          <w:szCs w:val="36"/>
          <w:lang w:val="en-US"/>
        </w:rPr>
        <w:t>Acremonium</w:t>
      </w:r>
      <w:proofErr w:type="spellEnd"/>
      <w:r w:rsidRPr="00650044">
        <w:rPr>
          <w:rFonts w:ascii="Minon" w:hAnsi="Minon"/>
          <w:color w:val="17365D" w:themeColor="text2" w:themeShade="BF"/>
          <w:sz w:val="36"/>
          <w:szCs w:val="36"/>
          <w:lang w:val="en-US"/>
        </w:rPr>
        <w:t xml:space="preserve"> sp. as potential biocontrol </w:t>
      </w:r>
      <w:r w:rsidRPr="00650044">
        <w:rPr>
          <w:rFonts w:ascii="Georgia" w:hAnsi="Georgia"/>
          <w:color w:val="17365D" w:themeColor="text2" w:themeShade="BF"/>
          <w:sz w:val="36"/>
          <w:szCs w:val="36"/>
          <w:lang w:val="en-US"/>
        </w:rPr>
        <w:t>agent</w:t>
      </w:r>
      <w:r w:rsidRPr="00650044">
        <w:rPr>
          <w:rFonts w:ascii="Minon" w:hAnsi="Minon"/>
          <w:color w:val="17365D" w:themeColor="text2" w:themeShade="BF"/>
          <w:sz w:val="36"/>
          <w:szCs w:val="36"/>
          <w:lang w:val="en-US"/>
        </w:rPr>
        <w:t xml:space="preserve"> for Chickpea rot causing pathogens</w:t>
      </w:r>
    </w:p>
    <w:p w:rsidR="00650044" w:rsidRDefault="00650044" w:rsidP="00650044">
      <w:pPr>
        <w:spacing w:after="0" w:line="240" w:lineRule="auto"/>
        <w:rPr>
          <w:rFonts w:ascii="Minon" w:hAnsi="Minon"/>
          <w:sz w:val="36"/>
          <w:szCs w:val="36"/>
          <w:lang w:val="en-US"/>
        </w:rPr>
      </w:pPr>
    </w:p>
    <w:p w:rsidR="00650044" w:rsidRPr="00650044" w:rsidRDefault="00650044" w:rsidP="00650044">
      <w:pPr>
        <w:spacing w:after="0" w:line="240" w:lineRule="auto"/>
        <w:rPr>
          <w:rFonts w:ascii="Georgia" w:hAnsi="Georgia"/>
          <w:b/>
          <w:color w:val="984806" w:themeColor="accent6" w:themeShade="80"/>
          <w:sz w:val="20"/>
          <w:szCs w:val="20"/>
          <w:lang w:val="en-US"/>
        </w:rPr>
      </w:pPr>
      <w:r w:rsidRPr="00650044">
        <w:rPr>
          <w:rFonts w:ascii="Georgia" w:hAnsi="Georgia"/>
          <w:b/>
          <w:color w:val="984806" w:themeColor="accent6" w:themeShade="80"/>
          <w:sz w:val="20"/>
          <w:szCs w:val="20"/>
          <w:lang w:val="en-US"/>
        </w:rPr>
        <w:t>Abstract</w:t>
      </w:r>
    </w:p>
    <w:p w:rsidR="00650044" w:rsidRDefault="00650044" w:rsidP="00650044">
      <w:pPr>
        <w:spacing w:after="0" w:line="240" w:lineRule="auto"/>
        <w:rPr>
          <w:rFonts w:ascii="Georgia" w:hAnsi="Georgia"/>
          <w:color w:val="984806" w:themeColor="accent6" w:themeShade="80"/>
          <w:sz w:val="20"/>
          <w:szCs w:val="20"/>
          <w:lang w:val="en-US"/>
        </w:rPr>
      </w:pPr>
    </w:p>
    <w:p w:rsidR="00650044" w:rsidRDefault="00650044" w:rsidP="00650044">
      <w:pPr>
        <w:spacing w:after="0" w:line="240" w:lineRule="auto"/>
        <w:rPr>
          <w:rFonts w:ascii="Georgia" w:hAnsi="Georgia"/>
          <w:color w:val="000000" w:themeColor="text1"/>
          <w:sz w:val="20"/>
          <w:szCs w:val="20"/>
          <w:lang w:val="en-US"/>
        </w:rPr>
      </w:pPr>
      <w:r w:rsidRPr="00650044">
        <w:rPr>
          <w:rFonts w:ascii="Georgia" w:hAnsi="Georgia"/>
          <w:color w:val="000000" w:themeColor="text1"/>
          <w:sz w:val="20"/>
          <w:szCs w:val="20"/>
          <w:lang w:val="en-US"/>
        </w:rPr>
        <w:t xml:space="preserve">“Endophytic fungal agglomerate” of Indian medicinal plant, </w:t>
      </w:r>
      <w:proofErr w:type="spellStart"/>
      <w:r w:rsidRPr="00650044">
        <w:rPr>
          <w:rFonts w:ascii="Georgia" w:hAnsi="Georgia"/>
          <w:color w:val="000000" w:themeColor="text1"/>
          <w:sz w:val="20"/>
          <w:szCs w:val="20"/>
          <w:lang w:val="en-US"/>
        </w:rPr>
        <w:t>Mentha</w:t>
      </w:r>
      <w:proofErr w:type="spellEnd"/>
      <w:r w:rsidRPr="00650044">
        <w:rPr>
          <w:rFonts w:ascii="Georgia" w:hAnsi="Georgia"/>
          <w:color w:val="000000" w:themeColor="text1"/>
          <w:sz w:val="20"/>
          <w:szCs w:val="20"/>
          <w:lang w:val="en-US"/>
        </w:rPr>
        <w:t xml:space="preserve"> piperita was investigated for their biodiversity, antifungal action against significant phytopathogens and metabolite profiling. 63 fungal isolates belonging to 13 genera were recovered from 222 plant segments collected from distinct regions (Delhi, Hyderabad and </w:t>
      </w:r>
      <w:proofErr w:type="spellStart"/>
      <w:r w:rsidRPr="00650044">
        <w:rPr>
          <w:rFonts w:ascii="Georgia" w:hAnsi="Georgia"/>
          <w:color w:val="000000" w:themeColor="text1"/>
          <w:sz w:val="20"/>
          <w:szCs w:val="20"/>
          <w:lang w:val="en-US"/>
        </w:rPr>
        <w:t>Mukteshwar</w:t>
      </w:r>
      <w:proofErr w:type="spellEnd"/>
      <w:r w:rsidRPr="00650044">
        <w:rPr>
          <w:rFonts w:ascii="Georgia" w:hAnsi="Georgia"/>
          <w:color w:val="000000" w:themeColor="text1"/>
          <w:sz w:val="20"/>
          <w:szCs w:val="20"/>
          <w:lang w:val="en-US"/>
        </w:rPr>
        <w:t xml:space="preserve">) </w:t>
      </w:r>
      <w:proofErr w:type="gramStart"/>
      <w:r w:rsidRPr="00650044">
        <w:rPr>
          <w:rFonts w:ascii="Georgia" w:hAnsi="Georgia"/>
          <w:color w:val="000000" w:themeColor="text1"/>
          <w:sz w:val="20"/>
          <w:szCs w:val="20"/>
          <w:lang w:val="en-US"/>
        </w:rPr>
        <w:t>of  India</w:t>
      </w:r>
      <w:proofErr w:type="gramEnd"/>
      <w:r w:rsidRPr="00650044">
        <w:rPr>
          <w:rFonts w:ascii="Georgia" w:hAnsi="Georgia"/>
          <w:color w:val="000000" w:themeColor="text1"/>
          <w:sz w:val="20"/>
          <w:szCs w:val="20"/>
          <w:lang w:val="en-US"/>
        </w:rPr>
        <w:t xml:space="preserve">. Endophytic fungi were identified by molecular methods comprising of PCR amplification and </w:t>
      </w:r>
      <w:proofErr w:type="spellStart"/>
      <w:r w:rsidRPr="00650044">
        <w:rPr>
          <w:rFonts w:ascii="Georgia" w:hAnsi="Georgia"/>
          <w:color w:val="000000" w:themeColor="text1"/>
          <w:sz w:val="20"/>
          <w:szCs w:val="20"/>
          <w:lang w:val="en-US"/>
        </w:rPr>
        <w:t>rDNA</w:t>
      </w:r>
      <w:proofErr w:type="spellEnd"/>
      <w:r w:rsidRPr="00650044">
        <w:rPr>
          <w:rFonts w:ascii="Georgia" w:hAnsi="Georgia"/>
          <w:color w:val="000000" w:themeColor="text1"/>
          <w:sz w:val="20"/>
          <w:szCs w:val="20"/>
          <w:lang w:val="en-US"/>
        </w:rPr>
        <w:t xml:space="preserve"> (ITS1-5.8S-ITS2 region) sequencing. </w:t>
      </w:r>
      <w:proofErr w:type="spellStart"/>
      <w:r w:rsidRPr="00650044">
        <w:rPr>
          <w:rFonts w:ascii="Georgia" w:hAnsi="Georgia"/>
          <w:color w:val="000000" w:themeColor="text1"/>
          <w:sz w:val="20"/>
          <w:szCs w:val="20"/>
          <w:lang w:val="en-US"/>
        </w:rPr>
        <w:t>Acremonium</w:t>
      </w:r>
      <w:proofErr w:type="spellEnd"/>
      <w:r w:rsidRPr="00650044">
        <w:rPr>
          <w:rFonts w:ascii="Georgia" w:hAnsi="Georgia"/>
          <w:color w:val="000000" w:themeColor="text1"/>
          <w:sz w:val="20"/>
          <w:szCs w:val="20"/>
          <w:lang w:val="en-US"/>
        </w:rPr>
        <w:t xml:space="preserve"> sp. and A. </w:t>
      </w:r>
      <w:proofErr w:type="spellStart"/>
      <w:r w:rsidRPr="00650044">
        <w:rPr>
          <w:rFonts w:ascii="Georgia" w:hAnsi="Georgia"/>
          <w:color w:val="000000" w:themeColor="text1"/>
          <w:sz w:val="20"/>
          <w:szCs w:val="20"/>
          <w:lang w:val="en-US"/>
        </w:rPr>
        <w:t>alternata</w:t>
      </w:r>
      <w:proofErr w:type="spellEnd"/>
      <w:r w:rsidRPr="00650044">
        <w:rPr>
          <w:rFonts w:ascii="Georgia" w:hAnsi="Georgia"/>
          <w:color w:val="000000" w:themeColor="text1"/>
          <w:sz w:val="20"/>
          <w:szCs w:val="20"/>
          <w:lang w:val="en-US"/>
        </w:rPr>
        <w:t xml:space="preserve"> (17.46%) were observed as most abundant endophytes. Principal component analysis divulged seasonal variability with exclusive presence of Colletotrichum sp., </w:t>
      </w:r>
      <w:proofErr w:type="spellStart"/>
      <w:r w:rsidRPr="00650044">
        <w:rPr>
          <w:rFonts w:ascii="Georgia" w:hAnsi="Georgia"/>
          <w:color w:val="000000" w:themeColor="text1"/>
          <w:sz w:val="20"/>
          <w:szCs w:val="20"/>
          <w:lang w:val="en-US"/>
        </w:rPr>
        <w:t>Diaporthe</w:t>
      </w:r>
      <w:proofErr w:type="spellEnd"/>
      <w:r w:rsidRPr="00650044">
        <w:rPr>
          <w:rFonts w:ascii="Georgia" w:hAnsi="Georgia"/>
          <w:color w:val="000000" w:themeColor="text1"/>
          <w:sz w:val="20"/>
          <w:szCs w:val="20"/>
          <w:lang w:val="en-US"/>
        </w:rPr>
        <w:t xml:space="preserve"> </w:t>
      </w:r>
      <w:proofErr w:type="spellStart"/>
      <w:r w:rsidRPr="00650044">
        <w:rPr>
          <w:rFonts w:ascii="Georgia" w:hAnsi="Georgia"/>
          <w:color w:val="000000" w:themeColor="text1"/>
          <w:sz w:val="20"/>
          <w:szCs w:val="20"/>
          <w:lang w:val="en-US"/>
        </w:rPr>
        <w:t>phaseolorum</w:t>
      </w:r>
      <w:proofErr w:type="spellEnd"/>
      <w:r w:rsidRPr="00650044">
        <w:rPr>
          <w:rFonts w:ascii="Georgia" w:hAnsi="Georgia"/>
          <w:color w:val="000000" w:themeColor="text1"/>
          <w:sz w:val="20"/>
          <w:szCs w:val="20"/>
          <w:lang w:val="en-US"/>
        </w:rPr>
        <w:t xml:space="preserve">, </w:t>
      </w:r>
      <w:proofErr w:type="spellStart"/>
      <w:r w:rsidRPr="00650044">
        <w:rPr>
          <w:rFonts w:ascii="Georgia" w:hAnsi="Georgia"/>
          <w:color w:val="000000" w:themeColor="text1"/>
          <w:sz w:val="20"/>
          <w:szCs w:val="20"/>
          <w:lang w:val="en-US"/>
        </w:rPr>
        <w:t>Alternaria</w:t>
      </w:r>
      <w:proofErr w:type="spellEnd"/>
      <w:r w:rsidRPr="00650044">
        <w:rPr>
          <w:rFonts w:ascii="Georgia" w:hAnsi="Georgia"/>
          <w:color w:val="000000" w:themeColor="text1"/>
          <w:sz w:val="20"/>
          <w:szCs w:val="20"/>
          <w:lang w:val="en-US"/>
        </w:rPr>
        <w:t xml:space="preserve"> sp., </w:t>
      </w:r>
      <w:proofErr w:type="spellStart"/>
      <w:r w:rsidRPr="00650044">
        <w:rPr>
          <w:rFonts w:ascii="Georgia" w:hAnsi="Georgia"/>
          <w:color w:val="000000" w:themeColor="text1"/>
          <w:sz w:val="20"/>
          <w:szCs w:val="20"/>
          <w:lang w:val="en-US"/>
        </w:rPr>
        <w:t>Hypocrea</w:t>
      </w:r>
      <w:proofErr w:type="spellEnd"/>
      <w:r w:rsidRPr="00650044">
        <w:rPr>
          <w:rFonts w:ascii="Georgia" w:hAnsi="Georgia"/>
          <w:color w:val="000000" w:themeColor="text1"/>
          <w:sz w:val="20"/>
          <w:szCs w:val="20"/>
          <w:lang w:val="en-US"/>
        </w:rPr>
        <w:t xml:space="preserve"> sp. and </w:t>
      </w:r>
      <w:proofErr w:type="spellStart"/>
      <w:r w:rsidRPr="00650044">
        <w:rPr>
          <w:rFonts w:ascii="Georgia" w:hAnsi="Georgia"/>
          <w:color w:val="000000" w:themeColor="text1"/>
          <w:sz w:val="20"/>
          <w:szCs w:val="20"/>
          <w:lang w:val="en-US"/>
        </w:rPr>
        <w:t>Rhizopus</w:t>
      </w:r>
      <w:proofErr w:type="spellEnd"/>
      <w:r w:rsidRPr="00650044">
        <w:rPr>
          <w:rFonts w:ascii="Georgia" w:hAnsi="Georgia"/>
          <w:color w:val="000000" w:themeColor="text1"/>
          <w:sz w:val="20"/>
          <w:szCs w:val="20"/>
          <w:lang w:val="en-US"/>
        </w:rPr>
        <w:t xml:space="preserve"> oryzae from second sampling season. Highest isolation rate of 80% was observed in stem tissues, followed by leaf tissues (50%) when collected from higher elevation location </w:t>
      </w:r>
      <w:proofErr w:type="spellStart"/>
      <w:r w:rsidRPr="00650044">
        <w:rPr>
          <w:rFonts w:ascii="Georgia" w:hAnsi="Georgia"/>
          <w:color w:val="000000" w:themeColor="text1"/>
          <w:sz w:val="20"/>
          <w:szCs w:val="20"/>
          <w:lang w:val="en-US"/>
        </w:rPr>
        <w:t>Mukteshwar</w:t>
      </w:r>
      <w:proofErr w:type="spellEnd"/>
      <w:r w:rsidRPr="00650044">
        <w:rPr>
          <w:rFonts w:ascii="Georgia" w:hAnsi="Georgia"/>
          <w:color w:val="000000" w:themeColor="text1"/>
          <w:sz w:val="20"/>
          <w:szCs w:val="20"/>
          <w:lang w:val="en-US"/>
        </w:rPr>
        <w:t xml:space="preserve">. Shannon diversity index (H') was found to be highest in leaf (1.253) and stem tissues (1.213) collected from </w:t>
      </w:r>
      <w:proofErr w:type="spellStart"/>
      <w:r w:rsidRPr="00650044">
        <w:rPr>
          <w:rFonts w:ascii="Georgia" w:hAnsi="Georgia"/>
          <w:color w:val="000000" w:themeColor="text1"/>
          <w:sz w:val="20"/>
          <w:szCs w:val="20"/>
          <w:lang w:val="en-US"/>
        </w:rPr>
        <w:t>Mukteshwar</w:t>
      </w:r>
      <w:proofErr w:type="spellEnd"/>
      <w:r w:rsidRPr="00650044">
        <w:rPr>
          <w:rFonts w:ascii="Georgia" w:hAnsi="Georgia"/>
          <w:color w:val="000000" w:themeColor="text1"/>
          <w:sz w:val="20"/>
          <w:szCs w:val="20"/>
          <w:lang w:val="en-US"/>
        </w:rPr>
        <w:t xml:space="preserve">. </w:t>
      </w:r>
      <w:proofErr w:type="spellStart"/>
      <w:r w:rsidRPr="00650044">
        <w:rPr>
          <w:rFonts w:ascii="Georgia" w:hAnsi="Georgia"/>
          <w:color w:val="000000" w:themeColor="text1"/>
          <w:sz w:val="20"/>
          <w:szCs w:val="20"/>
          <w:lang w:val="en-US"/>
        </w:rPr>
        <w:t>Menhinick’s</w:t>
      </w:r>
      <w:proofErr w:type="spellEnd"/>
      <w:r w:rsidRPr="00650044">
        <w:rPr>
          <w:rFonts w:ascii="Georgia" w:hAnsi="Georgia"/>
          <w:color w:val="000000" w:themeColor="text1"/>
          <w:sz w:val="20"/>
          <w:szCs w:val="20"/>
          <w:lang w:val="en-US"/>
        </w:rPr>
        <w:t xml:space="preserve"> index discern that stem tissues from </w:t>
      </w:r>
      <w:proofErr w:type="spellStart"/>
      <w:r w:rsidRPr="00650044">
        <w:rPr>
          <w:rFonts w:ascii="Georgia" w:hAnsi="Georgia"/>
          <w:color w:val="000000" w:themeColor="text1"/>
          <w:sz w:val="20"/>
          <w:szCs w:val="20"/>
          <w:lang w:val="en-US"/>
        </w:rPr>
        <w:t>Mukteshwar</w:t>
      </w:r>
      <w:proofErr w:type="spellEnd"/>
      <w:r w:rsidRPr="00650044">
        <w:rPr>
          <w:rFonts w:ascii="Georgia" w:hAnsi="Georgia"/>
          <w:color w:val="000000" w:themeColor="text1"/>
          <w:sz w:val="20"/>
          <w:szCs w:val="20"/>
          <w:lang w:val="en-US"/>
        </w:rPr>
        <w:t xml:space="preserve"> have maximum species richness (</w:t>
      </w:r>
      <w:proofErr w:type="spellStart"/>
      <w:r w:rsidRPr="00650044">
        <w:rPr>
          <w:rFonts w:ascii="Georgia" w:hAnsi="Georgia"/>
          <w:color w:val="000000" w:themeColor="text1"/>
          <w:sz w:val="20"/>
          <w:szCs w:val="20"/>
          <w:lang w:val="en-US"/>
        </w:rPr>
        <w:t>Dmn</w:t>
      </w:r>
      <w:proofErr w:type="spellEnd"/>
      <w:r w:rsidRPr="00650044">
        <w:rPr>
          <w:rFonts w:ascii="Georgia" w:hAnsi="Georgia"/>
          <w:color w:val="000000" w:themeColor="text1"/>
          <w:sz w:val="20"/>
          <w:szCs w:val="20"/>
          <w:lang w:val="en-US"/>
        </w:rPr>
        <w:t xml:space="preserve">=1.75). 12% of the total fungal isolates demonstrated </w:t>
      </w:r>
      <w:proofErr w:type="spellStart"/>
      <w:r w:rsidRPr="00650044">
        <w:rPr>
          <w:rFonts w:ascii="Georgia" w:hAnsi="Georgia"/>
          <w:color w:val="000000" w:themeColor="text1"/>
          <w:sz w:val="20"/>
          <w:szCs w:val="20"/>
          <w:lang w:val="en-US"/>
        </w:rPr>
        <w:t>antiphytopathogenic</w:t>
      </w:r>
      <w:proofErr w:type="spellEnd"/>
      <w:r w:rsidRPr="00650044">
        <w:rPr>
          <w:rFonts w:ascii="Georgia" w:hAnsi="Georgia"/>
          <w:color w:val="000000" w:themeColor="text1"/>
          <w:sz w:val="20"/>
          <w:szCs w:val="20"/>
          <w:lang w:val="en-US"/>
        </w:rPr>
        <w:t xml:space="preserve"> activity in dual culture bioassay. Best antifungal activity was exhibited by extracts obtained </w:t>
      </w:r>
      <w:proofErr w:type="spellStart"/>
      <w:r w:rsidRPr="00650044">
        <w:rPr>
          <w:rFonts w:ascii="Georgia" w:hAnsi="Georgia"/>
          <w:color w:val="000000" w:themeColor="text1"/>
          <w:sz w:val="20"/>
          <w:szCs w:val="20"/>
          <w:lang w:val="en-US"/>
        </w:rPr>
        <w:t>Acremonium</w:t>
      </w:r>
      <w:proofErr w:type="spellEnd"/>
      <w:r w:rsidRPr="00650044">
        <w:rPr>
          <w:rFonts w:ascii="Georgia" w:hAnsi="Georgia"/>
          <w:color w:val="000000" w:themeColor="text1"/>
          <w:sz w:val="20"/>
          <w:szCs w:val="20"/>
          <w:lang w:val="en-US"/>
        </w:rPr>
        <w:t xml:space="preserve"> sp. (MPM-2.1) with &lt; 1mg/ml IC50 value against Sclerotinia sclerotiorum, Botrytis </w:t>
      </w:r>
      <w:proofErr w:type="spellStart"/>
      <w:r w:rsidRPr="00650044">
        <w:rPr>
          <w:rFonts w:ascii="Georgia" w:hAnsi="Georgia"/>
          <w:color w:val="000000" w:themeColor="text1"/>
          <w:sz w:val="20"/>
          <w:szCs w:val="20"/>
          <w:lang w:val="en-US"/>
        </w:rPr>
        <w:t>cinerea</w:t>
      </w:r>
      <w:proofErr w:type="spellEnd"/>
      <w:r w:rsidRPr="00650044">
        <w:rPr>
          <w:rFonts w:ascii="Georgia" w:hAnsi="Georgia"/>
          <w:color w:val="000000" w:themeColor="text1"/>
          <w:sz w:val="20"/>
          <w:szCs w:val="20"/>
          <w:lang w:val="en-US"/>
        </w:rPr>
        <w:t xml:space="preserve">, Fusarium oxysporum and Rhizoctonia solani. GC-MS chromatography of hexane extract of </w:t>
      </w:r>
      <w:proofErr w:type="spellStart"/>
      <w:r w:rsidRPr="00650044">
        <w:rPr>
          <w:rFonts w:ascii="Georgia" w:hAnsi="Georgia"/>
          <w:color w:val="000000" w:themeColor="text1"/>
          <w:sz w:val="20"/>
          <w:szCs w:val="20"/>
          <w:lang w:val="en-US"/>
        </w:rPr>
        <w:t>Acremonium</w:t>
      </w:r>
      <w:proofErr w:type="spellEnd"/>
      <w:r w:rsidRPr="00650044">
        <w:rPr>
          <w:rFonts w:ascii="Georgia" w:hAnsi="Georgia"/>
          <w:color w:val="000000" w:themeColor="text1"/>
          <w:sz w:val="20"/>
          <w:szCs w:val="20"/>
          <w:lang w:val="en-US"/>
        </w:rPr>
        <w:t xml:space="preserve"> sp. (MPHSS-2.1) confirmed presence of antifungal compounds 1-heptacosanol and 1-nonadecane.</w:t>
      </w:r>
    </w:p>
    <w:p w:rsidR="00650044" w:rsidRDefault="00650044" w:rsidP="00650044">
      <w:pPr>
        <w:spacing w:after="0" w:line="240" w:lineRule="auto"/>
        <w:rPr>
          <w:rFonts w:ascii="Georgia" w:hAnsi="Georgia"/>
          <w:color w:val="000000" w:themeColor="text1"/>
          <w:sz w:val="20"/>
          <w:szCs w:val="20"/>
          <w:lang w:val="en-US"/>
        </w:rPr>
      </w:pPr>
    </w:p>
    <w:p w:rsidR="00D8602C" w:rsidRDefault="00D8602C" w:rsidP="00D8602C">
      <w:pPr>
        <w:spacing w:after="0" w:line="240" w:lineRule="auto"/>
        <w:rPr>
          <w:rFonts w:ascii="Georgia" w:hAnsi="Georgia"/>
          <w:b/>
          <w:color w:val="984806" w:themeColor="accent6" w:themeShade="80"/>
          <w:sz w:val="20"/>
          <w:szCs w:val="20"/>
          <w:lang w:val="en-US"/>
        </w:rPr>
      </w:pPr>
    </w:p>
    <w:p w:rsidR="00D8602C" w:rsidRDefault="00D8602C" w:rsidP="00D8602C">
      <w:pPr>
        <w:spacing w:after="0" w:line="240" w:lineRule="auto"/>
        <w:rPr>
          <w:rFonts w:ascii="Georgia" w:hAnsi="Georgia"/>
          <w:b/>
          <w:color w:val="984806" w:themeColor="accent6" w:themeShade="80"/>
          <w:sz w:val="20"/>
          <w:szCs w:val="20"/>
          <w:lang w:val="en-US"/>
        </w:rPr>
      </w:pPr>
    </w:p>
    <w:p w:rsidR="00D8602C" w:rsidRDefault="00D8602C" w:rsidP="00D8602C">
      <w:pPr>
        <w:spacing w:after="0" w:line="240" w:lineRule="auto"/>
        <w:rPr>
          <w:rFonts w:ascii="Georgia" w:hAnsi="Georgia"/>
          <w:b/>
          <w:color w:val="984806" w:themeColor="accent6" w:themeShade="80"/>
          <w:sz w:val="20"/>
          <w:szCs w:val="20"/>
          <w:lang w:val="en-US"/>
        </w:rPr>
      </w:pPr>
    </w:p>
    <w:p w:rsidR="00D8602C" w:rsidRDefault="00D8602C" w:rsidP="00D8602C">
      <w:pPr>
        <w:spacing w:after="0" w:line="240" w:lineRule="auto"/>
        <w:rPr>
          <w:rFonts w:ascii="Georgia" w:hAnsi="Georgia"/>
          <w:b/>
          <w:color w:val="984806" w:themeColor="accent6" w:themeShade="80"/>
          <w:sz w:val="20"/>
          <w:szCs w:val="20"/>
          <w:lang w:val="en-US"/>
        </w:rPr>
      </w:pPr>
      <w:r w:rsidRPr="00D8602C">
        <w:rPr>
          <w:rFonts w:ascii="Georgia" w:hAnsi="Georgia"/>
          <w:b/>
          <w:color w:val="984806" w:themeColor="accent6" w:themeShade="80"/>
          <w:sz w:val="20"/>
          <w:szCs w:val="20"/>
          <w:lang w:val="en-US"/>
        </w:rPr>
        <w:drawing>
          <wp:inline distT="0" distB="0" distL="0" distR="0">
            <wp:extent cx="3276600" cy="2381381"/>
            <wp:effectExtent l="19050" t="0" r="0" b="0"/>
            <wp:docPr id="4" name="Picture 2" descr="C:\Users\khumesh\AppData\Local\Microsoft\Windows\INetCache\Content.Word\Fig_2 (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humesh\AppData\Local\Microsoft\Windows\INetCache\Content.Word\Fig_2 (1).tiff"/>
                    <pic:cNvPicPr>
                      <a:picLocks noChangeAspect="1" noChangeArrowheads="1"/>
                    </pic:cNvPicPr>
                  </pic:nvPicPr>
                  <pic:blipFill>
                    <a:blip r:embed="rId5" cstate="print"/>
                    <a:srcRect/>
                    <a:stretch>
                      <a:fillRect/>
                    </a:stretch>
                  </pic:blipFill>
                  <pic:spPr bwMode="auto">
                    <a:xfrm>
                      <a:off x="0" y="0"/>
                      <a:ext cx="3283745" cy="2386574"/>
                    </a:xfrm>
                    <a:prstGeom prst="rect">
                      <a:avLst/>
                    </a:prstGeom>
                    <a:noFill/>
                    <a:ln w="9525">
                      <a:noFill/>
                      <a:miter lim="800000"/>
                      <a:headEnd/>
                      <a:tailEnd/>
                    </a:ln>
                  </pic:spPr>
                </pic:pic>
              </a:graphicData>
            </a:graphic>
          </wp:inline>
        </w:drawing>
      </w:r>
    </w:p>
    <w:p w:rsidR="00D8602C" w:rsidRDefault="00D8602C" w:rsidP="00D8602C">
      <w:pPr>
        <w:spacing w:after="0" w:line="240" w:lineRule="auto"/>
        <w:rPr>
          <w:rFonts w:ascii="Georgia" w:hAnsi="Georgia"/>
          <w:b/>
          <w:color w:val="984806" w:themeColor="accent6" w:themeShade="80"/>
          <w:sz w:val="20"/>
          <w:szCs w:val="20"/>
          <w:lang w:val="en-US"/>
        </w:rPr>
      </w:pPr>
    </w:p>
    <w:p w:rsidR="00D8602C" w:rsidRDefault="00D8602C" w:rsidP="00D8602C">
      <w:pPr>
        <w:spacing w:after="0" w:line="240" w:lineRule="auto"/>
        <w:rPr>
          <w:rFonts w:ascii="Georgia" w:hAnsi="Georgia"/>
          <w:b/>
          <w:color w:val="984806" w:themeColor="accent6" w:themeShade="80"/>
          <w:sz w:val="20"/>
          <w:szCs w:val="20"/>
          <w:lang w:val="en-US"/>
        </w:rPr>
      </w:pPr>
    </w:p>
    <w:p w:rsidR="00D8602C" w:rsidRDefault="00D8602C" w:rsidP="00D8602C">
      <w:pPr>
        <w:spacing w:after="0" w:line="240" w:lineRule="auto"/>
        <w:rPr>
          <w:rFonts w:ascii="Georgia" w:hAnsi="Georgia"/>
          <w:b/>
          <w:color w:val="984806" w:themeColor="accent6" w:themeShade="80"/>
          <w:sz w:val="20"/>
          <w:szCs w:val="20"/>
          <w:lang w:val="en-US"/>
        </w:rPr>
      </w:pPr>
    </w:p>
    <w:p w:rsidR="00D8602C" w:rsidRPr="00650044" w:rsidRDefault="00D8602C" w:rsidP="00D8602C">
      <w:pPr>
        <w:spacing w:after="0" w:line="240" w:lineRule="auto"/>
        <w:rPr>
          <w:rFonts w:ascii="Georgia" w:hAnsi="Georgia"/>
          <w:b/>
          <w:color w:val="984806" w:themeColor="accent6" w:themeShade="80"/>
          <w:sz w:val="20"/>
          <w:szCs w:val="20"/>
          <w:lang w:val="en-US"/>
        </w:rPr>
      </w:pPr>
      <w:r w:rsidRPr="00650044">
        <w:rPr>
          <w:rFonts w:ascii="Georgia" w:hAnsi="Georgia"/>
          <w:b/>
          <w:color w:val="984806" w:themeColor="accent6" w:themeShade="80"/>
          <w:sz w:val="20"/>
          <w:szCs w:val="20"/>
          <w:lang w:val="en-US"/>
        </w:rPr>
        <w:t>References</w:t>
      </w:r>
    </w:p>
    <w:p w:rsidR="00650044" w:rsidRPr="00650044" w:rsidRDefault="00650044" w:rsidP="00650044">
      <w:pPr>
        <w:spacing w:after="0" w:line="240" w:lineRule="auto"/>
        <w:rPr>
          <w:rFonts w:ascii="Minon" w:hAnsi="Minon"/>
          <w:sz w:val="36"/>
          <w:szCs w:val="36"/>
          <w:lang w:val="en-US"/>
        </w:rPr>
      </w:pPr>
    </w:p>
    <w:p w:rsidR="00650044" w:rsidRPr="00650044" w:rsidRDefault="00650044" w:rsidP="00D8602C">
      <w:pPr>
        <w:numPr>
          <w:ilvl w:val="0"/>
          <w:numId w:val="2"/>
        </w:numPr>
        <w:spacing w:after="0" w:line="240" w:lineRule="auto"/>
        <w:ind w:left="0" w:hanging="142"/>
        <w:rPr>
          <w:rFonts w:ascii="Georgia" w:hAnsi="Georgia"/>
          <w:sz w:val="18"/>
          <w:szCs w:val="18"/>
          <w:lang w:val="en-US"/>
        </w:rPr>
      </w:pPr>
      <w:r w:rsidRPr="00650044">
        <w:rPr>
          <w:rFonts w:ascii="Georgia" w:hAnsi="Georgia"/>
          <w:sz w:val="18"/>
          <w:szCs w:val="18"/>
          <w:lang w:val="en-US"/>
        </w:rPr>
        <w:t xml:space="preserve">Published a review article in </w:t>
      </w:r>
      <w:proofErr w:type="spellStart"/>
      <w:r w:rsidRPr="00650044">
        <w:rPr>
          <w:rFonts w:ascii="Georgia" w:hAnsi="Georgia"/>
          <w:b/>
          <w:sz w:val="18"/>
          <w:szCs w:val="18"/>
          <w:lang w:val="en-US"/>
        </w:rPr>
        <w:t>Phytochemistry</w:t>
      </w:r>
      <w:proofErr w:type="spellEnd"/>
      <w:r w:rsidRPr="00650044">
        <w:rPr>
          <w:rFonts w:ascii="Georgia" w:hAnsi="Georgia"/>
          <w:b/>
          <w:sz w:val="18"/>
          <w:szCs w:val="18"/>
          <w:lang w:val="en-US"/>
        </w:rPr>
        <w:t xml:space="preserve"> Reviews (Impact factor: 2.8)</w:t>
      </w:r>
      <w:r w:rsidRPr="00650044">
        <w:rPr>
          <w:rFonts w:ascii="Georgia" w:hAnsi="Georgia"/>
          <w:sz w:val="18"/>
          <w:szCs w:val="18"/>
          <w:lang w:val="en-US"/>
        </w:rPr>
        <w:t xml:space="preserve"> </w:t>
      </w:r>
      <w:proofErr w:type="spellStart"/>
      <w:r w:rsidRPr="00650044">
        <w:rPr>
          <w:rFonts w:ascii="Georgia" w:hAnsi="Georgia"/>
          <w:sz w:val="18"/>
          <w:szCs w:val="18"/>
          <w:lang w:val="en-US"/>
        </w:rPr>
        <w:t>Chowdhary</w:t>
      </w:r>
      <w:proofErr w:type="spellEnd"/>
      <w:r w:rsidRPr="00650044">
        <w:rPr>
          <w:rFonts w:ascii="Georgia" w:hAnsi="Georgia"/>
          <w:sz w:val="18"/>
          <w:szCs w:val="18"/>
          <w:lang w:val="en-US"/>
        </w:rPr>
        <w:t xml:space="preserve"> K, Kaushik N, Coloma AG &amp;</w:t>
      </w:r>
      <w:proofErr w:type="spellStart"/>
      <w:r w:rsidRPr="00650044">
        <w:rPr>
          <w:rFonts w:ascii="Georgia" w:hAnsi="Georgia"/>
          <w:sz w:val="18"/>
          <w:szCs w:val="18"/>
          <w:lang w:val="en-US"/>
        </w:rPr>
        <w:t>Raimundo</w:t>
      </w:r>
      <w:proofErr w:type="spellEnd"/>
      <w:r w:rsidRPr="00650044">
        <w:rPr>
          <w:rFonts w:ascii="Georgia" w:hAnsi="Georgia"/>
          <w:sz w:val="18"/>
          <w:szCs w:val="18"/>
          <w:lang w:val="en-US"/>
        </w:rPr>
        <w:t xml:space="preserve"> CM (2012) Endophytic fungi and their metabolites isolated from Indian medicinal plant. </w:t>
      </w:r>
      <w:proofErr w:type="spellStart"/>
      <w:r w:rsidRPr="00650044">
        <w:rPr>
          <w:rFonts w:ascii="Georgia" w:hAnsi="Georgia"/>
          <w:sz w:val="18"/>
          <w:szCs w:val="18"/>
          <w:lang w:val="en-US"/>
        </w:rPr>
        <w:t>Phytochemistry</w:t>
      </w:r>
      <w:proofErr w:type="spellEnd"/>
      <w:r w:rsidRPr="00650044">
        <w:rPr>
          <w:rFonts w:ascii="Georgia" w:hAnsi="Georgia"/>
          <w:sz w:val="18"/>
          <w:szCs w:val="18"/>
          <w:lang w:val="en-US"/>
        </w:rPr>
        <w:t xml:space="preserve"> Reviews 11(4) 467-485.</w:t>
      </w:r>
    </w:p>
    <w:p w:rsidR="00650044" w:rsidRPr="00650044" w:rsidRDefault="00650044" w:rsidP="00D8602C">
      <w:pPr>
        <w:numPr>
          <w:ilvl w:val="0"/>
          <w:numId w:val="2"/>
        </w:numPr>
        <w:spacing w:after="0" w:line="240" w:lineRule="auto"/>
        <w:ind w:left="0" w:firstLine="0"/>
        <w:rPr>
          <w:rFonts w:ascii="Georgia" w:hAnsi="Georgia"/>
          <w:sz w:val="18"/>
          <w:szCs w:val="18"/>
          <w:lang w:val="en-US"/>
        </w:rPr>
      </w:pPr>
      <w:r w:rsidRPr="00650044">
        <w:rPr>
          <w:rFonts w:ascii="Georgia" w:hAnsi="Georgia"/>
          <w:sz w:val="18"/>
          <w:szCs w:val="18"/>
          <w:lang w:val="en-US"/>
        </w:rPr>
        <w:t xml:space="preserve">Published article in </w:t>
      </w:r>
      <w:r w:rsidRPr="00650044">
        <w:rPr>
          <w:rFonts w:ascii="Georgia" w:hAnsi="Georgia"/>
          <w:b/>
          <w:sz w:val="18"/>
          <w:szCs w:val="18"/>
          <w:lang w:val="en-US"/>
        </w:rPr>
        <w:t>PLOS One</w:t>
      </w:r>
      <w:r w:rsidRPr="00650044">
        <w:rPr>
          <w:rFonts w:ascii="Georgia" w:hAnsi="Georgia"/>
          <w:sz w:val="18"/>
          <w:szCs w:val="18"/>
          <w:lang w:val="en-US"/>
        </w:rPr>
        <w:t xml:space="preserve"> </w:t>
      </w:r>
      <w:r w:rsidRPr="00650044">
        <w:rPr>
          <w:rFonts w:ascii="Georgia" w:hAnsi="Georgia"/>
          <w:b/>
          <w:sz w:val="18"/>
          <w:szCs w:val="18"/>
          <w:lang w:val="en-US"/>
        </w:rPr>
        <w:t>(Impact factor: 3.45)</w:t>
      </w:r>
      <w:r w:rsidRPr="00650044">
        <w:rPr>
          <w:rFonts w:ascii="Georgia" w:hAnsi="Georgia"/>
          <w:sz w:val="18"/>
          <w:szCs w:val="18"/>
          <w:lang w:val="en-US"/>
        </w:rPr>
        <w:t xml:space="preserve"> titled “Fungal endophyte diversity and bioactivity isolated from Indian medicinal plant </w:t>
      </w:r>
      <w:proofErr w:type="spellStart"/>
      <w:r w:rsidRPr="00650044">
        <w:rPr>
          <w:rFonts w:ascii="Georgia" w:hAnsi="Georgia"/>
          <w:i/>
          <w:sz w:val="18"/>
          <w:szCs w:val="18"/>
          <w:lang w:val="en-US"/>
        </w:rPr>
        <w:t>Ocimum</w:t>
      </w:r>
      <w:proofErr w:type="spellEnd"/>
      <w:r w:rsidRPr="00650044">
        <w:rPr>
          <w:rFonts w:ascii="Georgia" w:hAnsi="Georgia"/>
          <w:i/>
          <w:sz w:val="18"/>
          <w:szCs w:val="18"/>
          <w:lang w:val="en-US"/>
        </w:rPr>
        <w:t xml:space="preserve"> sanctum</w:t>
      </w:r>
      <w:r w:rsidRPr="00650044">
        <w:rPr>
          <w:rFonts w:ascii="Georgia" w:hAnsi="Georgia"/>
          <w:sz w:val="18"/>
          <w:szCs w:val="18"/>
          <w:lang w:val="en-US"/>
        </w:rPr>
        <w:t xml:space="preserve"> Linn”.</w:t>
      </w:r>
    </w:p>
    <w:p w:rsidR="00650044" w:rsidRPr="00650044" w:rsidRDefault="00650044" w:rsidP="00D8602C">
      <w:pPr>
        <w:numPr>
          <w:ilvl w:val="0"/>
          <w:numId w:val="2"/>
        </w:numPr>
        <w:spacing w:after="0" w:line="240" w:lineRule="auto"/>
        <w:ind w:left="0" w:firstLine="0"/>
        <w:rPr>
          <w:rFonts w:ascii="Georgia" w:hAnsi="Georgia"/>
          <w:bCs/>
          <w:sz w:val="18"/>
          <w:szCs w:val="18"/>
        </w:rPr>
      </w:pPr>
      <w:r w:rsidRPr="00650044">
        <w:rPr>
          <w:rFonts w:ascii="Georgia" w:hAnsi="Georgia"/>
          <w:bCs/>
          <w:sz w:val="18"/>
          <w:szCs w:val="18"/>
        </w:rPr>
        <w:t xml:space="preserve">Published a book chapter in </w:t>
      </w:r>
      <w:r w:rsidRPr="00650044">
        <w:rPr>
          <w:rFonts w:ascii="Georgia" w:hAnsi="Georgia"/>
          <w:b/>
          <w:sz w:val="18"/>
          <w:szCs w:val="18"/>
          <w:lang w:val="en-US"/>
        </w:rPr>
        <w:t xml:space="preserve">Conference Proceedings of </w:t>
      </w:r>
      <w:r w:rsidRPr="00650044">
        <w:rPr>
          <w:rFonts w:ascii="Georgia" w:hAnsi="Georgia"/>
          <w:b/>
          <w:bCs/>
          <w:sz w:val="18"/>
          <w:szCs w:val="18"/>
        </w:rPr>
        <w:t>6</w:t>
      </w:r>
      <w:r w:rsidRPr="00650044">
        <w:rPr>
          <w:rFonts w:ascii="Georgia" w:hAnsi="Georgia"/>
          <w:b/>
          <w:bCs/>
          <w:sz w:val="18"/>
          <w:szCs w:val="18"/>
          <w:vertAlign w:val="superscript"/>
        </w:rPr>
        <w:t>th</w:t>
      </w:r>
      <w:r w:rsidRPr="00650044">
        <w:rPr>
          <w:rFonts w:ascii="Georgia" w:hAnsi="Georgia"/>
          <w:b/>
          <w:bCs/>
          <w:sz w:val="18"/>
          <w:szCs w:val="18"/>
        </w:rPr>
        <w:t xml:space="preserve"> International Conference on “Plant, Pathogens and People” with mission “Challenges in Plant Pathology to benefit humankind </w:t>
      </w:r>
      <w:r w:rsidRPr="00650044">
        <w:rPr>
          <w:rFonts w:ascii="Georgia" w:hAnsi="Georgia"/>
          <w:bCs/>
          <w:sz w:val="18"/>
          <w:szCs w:val="18"/>
        </w:rPr>
        <w:t>titled</w:t>
      </w:r>
      <w:r w:rsidRPr="00650044">
        <w:rPr>
          <w:rFonts w:ascii="Georgia" w:hAnsi="Georgia"/>
          <w:b/>
          <w:bCs/>
          <w:sz w:val="18"/>
          <w:szCs w:val="18"/>
        </w:rPr>
        <w:t xml:space="preserve"> “</w:t>
      </w:r>
      <w:r w:rsidRPr="00650044">
        <w:rPr>
          <w:rFonts w:ascii="Georgia" w:hAnsi="Georgia"/>
          <w:bCs/>
          <w:sz w:val="18"/>
          <w:szCs w:val="18"/>
        </w:rPr>
        <w:t>Endophytic fungi: potential and prospects in plant health management”</w:t>
      </w:r>
    </w:p>
    <w:p w:rsidR="00650044" w:rsidRPr="00650044" w:rsidRDefault="00650044" w:rsidP="00D8602C">
      <w:pPr>
        <w:numPr>
          <w:ilvl w:val="0"/>
          <w:numId w:val="2"/>
        </w:numPr>
        <w:spacing w:after="0" w:line="240" w:lineRule="auto"/>
        <w:ind w:left="0" w:hanging="142"/>
        <w:rPr>
          <w:rFonts w:ascii="Georgia" w:hAnsi="Georgia"/>
          <w:sz w:val="18"/>
          <w:szCs w:val="18"/>
          <w:lang w:val="en-US"/>
        </w:rPr>
      </w:pPr>
      <w:r w:rsidRPr="00650044">
        <w:rPr>
          <w:rFonts w:ascii="Georgia" w:hAnsi="Georgia"/>
          <w:sz w:val="18"/>
          <w:szCs w:val="18"/>
          <w:lang w:val="en-US"/>
        </w:rPr>
        <w:t>Published a review article in</w:t>
      </w:r>
      <w:r w:rsidRPr="00650044">
        <w:rPr>
          <w:rFonts w:ascii="Georgia" w:hAnsi="Georgia"/>
          <w:b/>
          <w:sz w:val="18"/>
          <w:szCs w:val="18"/>
          <w:lang w:val="en-US"/>
        </w:rPr>
        <w:t xml:space="preserve"> Conference Proceedings of Recent advances in Biotechnology for food and fuel </w:t>
      </w:r>
      <w:r w:rsidRPr="00650044">
        <w:rPr>
          <w:rFonts w:ascii="Georgia" w:hAnsi="Georgia"/>
          <w:sz w:val="18"/>
          <w:szCs w:val="18"/>
          <w:lang w:val="en-US"/>
        </w:rPr>
        <w:t xml:space="preserve">titled “Recent updates on </w:t>
      </w:r>
      <w:proofErr w:type="spellStart"/>
      <w:r w:rsidRPr="00650044">
        <w:rPr>
          <w:rFonts w:ascii="Georgia" w:hAnsi="Georgia"/>
          <w:sz w:val="18"/>
          <w:szCs w:val="18"/>
          <w:lang w:val="en-US"/>
        </w:rPr>
        <w:t>Taxol</w:t>
      </w:r>
      <w:proofErr w:type="spellEnd"/>
      <w:r w:rsidRPr="00650044">
        <w:rPr>
          <w:rFonts w:ascii="Georgia" w:hAnsi="Georgia"/>
          <w:sz w:val="18"/>
          <w:szCs w:val="18"/>
          <w:lang w:val="en-US"/>
        </w:rPr>
        <w:t xml:space="preserve"> producing endophytic fungi”. Pp133-146. </w:t>
      </w:r>
    </w:p>
    <w:p w:rsidR="00650044" w:rsidRPr="00650044" w:rsidRDefault="00650044" w:rsidP="00D8602C">
      <w:pPr>
        <w:numPr>
          <w:ilvl w:val="0"/>
          <w:numId w:val="2"/>
        </w:numPr>
        <w:spacing w:after="0" w:line="240" w:lineRule="auto"/>
        <w:ind w:left="0" w:hanging="142"/>
        <w:rPr>
          <w:rFonts w:ascii="Georgia" w:hAnsi="Georgia"/>
          <w:sz w:val="18"/>
          <w:szCs w:val="18"/>
          <w:lang w:val="en-US"/>
        </w:rPr>
      </w:pPr>
      <w:r w:rsidRPr="00650044">
        <w:rPr>
          <w:rFonts w:ascii="Georgia" w:hAnsi="Georgia"/>
          <w:b/>
          <w:sz w:val="18"/>
          <w:szCs w:val="18"/>
          <w:lang w:val="en-US"/>
        </w:rPr>
        <w:t xml:space="preserve">Published </w:t>
      </w:r>
      <w:r w:rsidRPr="00650044">
        <w:rPr>
          <w:rFonts w:ascii="Georgia" w:hAnsi="Georgia"/>
          <w:sz w:val="18"/>
          <w:szCs w:val="18"/>
          <w:lang w:val="en-US"/>
        </w:rPr>
        <w:t>a book chapter titled “</w:t>
      </w:r>
      <w:proofErr w:type="spellStart"/>
      <w:r w:rsidRPr="00650044">
        <w:rPr>
          <w:rFonts w:ascii="Georgia" w:hAnsi="Georgia"/>
          <w:b/>
          <w:sz w:val="18"/>
          <w:szCs w:val="18"/>
          <w:lang w:val="en-US"/>
        </w:rPr>
        <w:t>Antiphytopathogenic</w:t>
      </w:r>
      <w:proofErr w:type="spellEnd"/>
      <w:r w:rsidRPr="00650044">
        <w:rPr>
          <w:rFonts w:ascii="Georgia" w:hAnsi="Georgia"/>
          <w:b/>
          <w:sz w:val="18"/>
          <w:szCs w:val="18"/>
          <w:lang w:val="en-US"/>
        </w:rPr>
        <w:t xml:space="preserve"> metabolites obtained from Endophytic fungi</w:t>
      </w:r>
      <w:r w:rsidRPr="00650044">
        <w:rPr>
          <w:rFonts w:ascii="Georgia" w:hAnsi="Georgia"/>
          <w:sz w:val="18"/>
          <w:szCs w:val="18"/>
          <w:lang w:val="en-US"/>
        </w:rPr>
        <w:t xml:space="preserve">”. Editors: S.K. </w:t>
      </w:r>
      <w:proofErr w:type="spellStart"/>
      <w:r w:rsidRPr="00650044">
        <w:rPr>
          <w:rFonts w:ascii="Georgia" w:hAnsi="Georgia"/>
          <w:sz w:val="18"/>
          <w:szCs w:val="18"/>
          <w:lang w:val="en-US"/>
        </w:rPr>
        <w:t>Deshmukh</w:t>
      </w:r>
      <w:proofErr w:type="spellEnd"/>
      <w:r w:rsidRPr="00650044">
        <w:rPr>
          <w:rFonts w:ascii="Georgia" w:hAnsi="Georgia"/>
          <w:sz w:val="18"/>
          <w:szCs w:val="18"/>
          <w:lang w:val="en-US"/>
        </w:rPr>
        <w:t xml:space="preserve">, J. K. </w:t>
      </w:r>
      <w:proofErr w:type="spellStart"/>
      <w:r w:rsidRPr="00650044">
        <w:rPr>
          <w:rFonts w:ascii="Georgia" w:hAnsi="Georgia"/>
          <w:sz w:val="18"/>
          <w:szCs w:val="18"/>
          <w:lang w:val="en-US"/>
        </w:rPr>
        <w:t>Misra</w:t>
      </w:r>
      <w:proofErr w:type="spellEnd"/>
      <w:r w:rsidRPr="00650044">
        <w:rPr>
          <w:rFonts w:ascii="Georgia" w:hAnsi="Georgia"/>
          <w:sz w:val="18"/>
          <w:szCs w:val="18"/>
          <w:lang w:val="en-US"/>
        </w:rPr>
        <w:t xml:space="preserve">, J. P. </w:t>
      </w:r>
      <w:proofErr w:type="spellStart"/>
      <w:r w:rsidRPr="00650044">
        <w:rPr>
          <w:rFonts w:ascii="Georgia" w:hAnsi="Georgia"/>
          <w:sz w:val="18"/>
          <w:szCs w:val="18"/>
          <w:lang w:val="en-US"/>
        </w:rPr>
        <w:t>Tiwari</w:t>
      </w:r>
      <w:proofErr w:type="spellEnd"/>
      <w:r w:rsidRPr="00650044">
        <w:rPr>
          <w:rFonts w:ascii="Georgia" w:hAnsi="Georgia"/>
          <w:sz w:val="18"/>
          <w:szCs w:val="18"/>
          <w:lang w:val="en-US"/>
        </w:rPr>
        <w:t xml:space="preserve"> and T. Papp CRC Press, USA (February 2016)</w:t>
      </w:r>
    </w:p>
    <w:p w:rsidR="00D8602C" w:rsidRPr="00D8602C" w:rsidRDefault="00D8602C" w:rsidP="00D8602C">
      <w:pPr>
        <w:sectPr w:rsidR="00D8602C" w:rsidRPr="00D8602C" w:rsidSect="00D8602C">
          <w:pgSz w:w="16838" w:h="11906" w:orient="landscape"/>
          <w:pgMar w:top="1440" w:right="1440" w:bottom="1440" w:left="1440" w:header="708" w:footer="708" w:gutter="0"/>
          <w:cols w:num="2" w:space="708"/>
          <w:docGrid w:linePitch="360"/>
        </w:sectPr>
      </w:pPr>
    </w:p>
    <w:p w:rsidR="00772DEF" w:rsidRDefault="00D8602C" w:rsidP="00D8602C">
      <w:pPr>
        <w:pStyle w:val="NormalWeb"/>
        <w:shd w:val="clear" w:color="auto" w:fill="FFFFFF"/>
        <w:spacing w:before="0" w:beforeAutospacing="0" w:after="200" w:afterAutospacing="0"/>
        <w:ind w:left="1276"/>
        <w:rPr>
          <w:rFonts w:ascii="Georgia" w:hAnsi="Georgia"/>
          <w:color w:val="222222"/>
          <w:sz w:val="19"/>
          <w:szCs w:val="19"/>
        </w:rPr>
      </w:pPr>
      <w:r w:rsidRPr="00D8602C">
        <w:rPr>
          <w:rFonts w:ascii="Georgia" w:hAnsi="Georgia"/>
          <w:color w:val="000000"/>
          <w:sz w:val="20"/>
          <w:szCs w:val="20"/>
        </w:rPr>
        <w:lastRenderedPageBreak/>
        <w:drawing>
          <wp:inline distT="0" distB="0" distL="0" distR="0">
            <wp:extent cx="800438" cy="1019175"/>
            <wp:effectExtent l="19050" t="0" r="0" b="0"/>
            <wp:docPr id="16" name="Picture 11" descr="Kanika T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nika Tokas.jpg"/>
                    <pic:cNvPicPr/>
                  </pic:nvPicPr>
                  <pic:blipFill>
                    <a:blip r:embed="rId6" cstate="print"/>
                    <a:stretch>
                      <a:fillRect/>
                    </a:stretch>
                  </pic:blipFill>
                  <pic:spPr>
                    <a:xfrm>
                      <a:off x="0" y="0"/>
                      <a:ext cx="800883" cy="1019742"/>
                    </a:xfrm>
                    <a:prstGeom prst="rect">
                      <a:avLst/>
                    </a:prstGeom>
                  </pic:spPr>
                </pic:pic>
              </a:graphicData>
            </a:graphic>
          </wp:inline>
        </w:drawing>
      </w:r>
      <w:r w:rsidR="00772DEF">
        <w:rPr>
          <w:rFonts w:ascii="Georgia" w:hAnsi="Georgia"/>
          <w:color w:val="000000"/>
          <w:sz w:val="20"/>
          <w:szCs w:val="20"/>
        </w:rPr>
        <w:t xml:space="preserve">Dr </w:t>
      </w:r>
      <w:proofErr w:type="spellStart"/>
      <w:r w:rsidR="00772DEF">
        <w:rPr>
          <w:rFonts w:ascii="Georgia" w:hAnsi="Georgia"/>
          <w:color w:val="000000"/>
          <w:sz w:val="20"/>
          <w:szCs w:val="20"/>
        </w:rPr>
        <w:t>Kanika</w:t>
      </w:r>
      <w:proofErr w:type="spellEnd"/>
      <w:r w:rsidR="00772DEF">
        <w:rPr>
          <w:rFonts w:ascii="Georgia" w:hAnsi="Georgia"/>
          <w:color w:val="000000"/>
          <w:sz w:val="20"/>
          <w:szCs w:val="20"/>
        </w:rPr>
        <w:t xml:space="preserve"> </w:t>
      </w:r>
      <w:proofErr w:type="spellStart"/>
      <w:proofErr w:type="gramStart"/>
      <w:r w:rsidR="00772DEF">
        <w:rPr>
          <w:rFonts w:ascii="Georgia" w:hAnsi="Georgia"/>
          <w:color w:val="000000"/>
          <w:sz w:val="20"/>
          <w:szCs w:val="20"/>
        </w:rPr>
        <w:t>Chowdhary</w:t>
      </w:r>
      <w:proofErr w:type="spellEnd"/>
      <w:r w:rsidR="00772DEF">
        <w:rPr>
          <w:rFonts w:ascii="Georgia" w:hAnsi="Georgia"/>
          <w:color w:val="000000"/>
          <w:sz w:val="20"/>
          <w:szCs w:val="20"/>
        </w:rPr>
        <w:t>,</w:t>
      </w:r>
      <w:proofErr w:type="gramEnd"/>
      <w:r w:rsidR="00772DEF">
        <w:rPr>
          <w:rFonts w:ascii="Georgia" w:hAnsi="Georgia"/>
          <w:color w:val="000000"/>
          <w:sz w:val="20"/>
          <w:szCs w:val="20"/>
        </w:rPr>
        <w:t xml:space="preserve"> completed PhD from TERI University, Delhi in Biotechnology and </w:t>
      </w:r>
      <w:proofErr w:type="spellStart"/>
      <w:r w:rsidR="00772DEF">
        <w:rPr>
          <w:rFonts w:ascii="Georgia" w:hAnsi="Georgia"/>
          <w:color w:val="000000"/>
          <w:sz w:val="20"/>
          <w:szCs w:val="20"/>
        </w:rPr>
        <w:t>Bioresources</w:t>
      </w:r>
      <w:proofErr w:type="spellEnd"/>
      <w:r w:rsidR="00772DEF">
        <w:rPr>
          <w:rFonts w:ascii="Georgia" w:hAnsi="Georgia"/>
          <w:color w:val="000000"/>
          <w:sz w:val="20"/>
          <w:szCs w:val="20"/>
        </w:rPr>
        <w:t>.</w:t>
      </w:r>
      <w:r w:rsidR="00772DEF">
        <w:rPr>
          <w:rFonts w:ascii="Georgia" w:hAnsi="Georgia"/>
          <w:color w:val="222222"/>
          <w:sz w:val="19"/>
          <w:szCs w:val="19"/>
        </w:rPr>
        <w:t xml:space="preserve"> Her</w:t>
      </w:r>
      <w:r w:rsidR="00772DEF">
        <w:rPr>
          <w:rFonts w:ascii="Georgia" w:hAnsi="Georgia"/>
          <w:color w:val="000000"/>
          <w:sz w:val="20"/>
          <w:szCs w:val="20"/>
        </w:rPr>
        <w:t xml:space="preserve"> thesis work was on </w:t>
      </w:r>
      <w:proofErr w:type="spellStart"/>
      <w:r w:rsidR="00772DEF">
        <w:rPr>
          <w:rFonts w:ascii="Georgia" w:hAnsi="Georgia"/>
          <w:color w:val="000000"/>
          <w:sz w:val="20"/>
          <w:szCs w:val="20"/>
        </w:rPr>
        <w:t>biopropsection</w:t>
      </w:r>
      <w:proofErr w:type="spellEnd"/>
      <w:r w:rsidR="00772DEF">
        <w:rPr>
          <w:rFonts w:ascii="Georgia" w:hAnsi="Georgia"/>
          <w:color w:val="000000"/>
          <w:sz w:val="20"/>
          <w:szCs w:val="20"/>
        </w:rPr>
        <w:t xml:space="preserve"> of endophytic fungi isolated from medicinal plants for antifungal activity against broad spectrum plant pathogens. Some of the promising strains are currently being taken up for </w:t>
      </w:r>
      <w:proofErr w:type="spellStart"/>
      <w:r w:rsidR="00772DEF">
        <w:rPr>
          <w:rFonts w:ascii="Georgia" w:hAnsi="Georgia"/>
          <w:color w:val="000000"/>
          <w:sz w:val="20"/>
          <w:szCs w:val="20"/>
        </w:rPr>
        <w:t>upscaling</w:t>
      </w:r>
      <w:proofErr w:type="spellEnd"/>
      <w:r w:rsidR="00772DEF">
        <w:rPr>
          <w:rFonts w:ascii="Georgia" w:hAnsi="Georgia"/>
          <w:color w:val="000000"/>
          <w:sz w:val="20"/>
          <w:szCs w:val="20"/>
        </w:rPr>
        <w:t xml:space="preserve"> and standardisation as biocontrol agents .She completed graduation in Biochemistry (H) and Post graduation in Agrochemical and Pest management (H) from Delhi University .  Presently she is an independent project investigator in a GOI sponsored DST-NPDF project on Biopesticide formulation from endophytic fungi against Sclerotinia rot. She firmly believes in the saying that curiosity is the best teacher and research is the pursuit of knowledge.</w:t>
      </w:r>
    </w:p>
    <w:p w:rsidR="00D8602C" w:rsidRDefault="00D8602C"/>
    <w:p w:rsidR="00633AC8" w:rsidRPr="00633AC8" w:rsidRDefault="00633AC8">
      <w:pPr>
        <w:rPr>
          <w:rFonts w:ascii="Georgia" w:hAnsi="Georgia"/>
          <w:sz w:val="20"/>
          <w:szCs w:val="20"/>
        </w:rPr>
        <w:sectPr w:rsidR="00633AC8" w:rsidRPr="00633AC8" w:rsidSect="00D8602C">
          <w:type w:val="continuous"/>
          <w:pgSz w:w="16838" w:h="11906" w:orient="landscape"/>
          <w:pgMar w:top="1440" w:right="1440" w:bottom="1440" w:left="1440" w:header="708" w:footer="708" w:gutter="0"/>
          <w:cols w:space="708"/>
          <w:docGrid w:linePitch="360"/>
        </w:sectPr>
      </w:pPr>
      <w:r>
        <w:t xml:space="preserve">                                                                                       </w:t>
      </w:r>
      <w:r w:rsidRPr="00633AC8">
        <w:rPr>
          <w:rFonts w:ascii="Georgia" w:hAnsi="Georgia"/>
          <w:b/>
          <w:sz w:val="20"/>
          <w:szCs w:val="20"/>
        </w:rPr>
        <w:t>Email</w:t>
      </w:r>
      <w:r w:rsidRPr="00633AC8">
        <w:rPr>
          <w:rFonts w:ascii="Georgia" w:hAnsi="Georgia"/>
          <w:sz w:val="20"/>
          <w:szCs w:val="20"/>
        </w:rPr>
        <w:t>: kanika1683@gmail.com</w:t>
      </w:r>
    </w:p>
    <w:p w:rsidR="00AB4E53" w:rsidRDefault="00AB4E53"/>
    <w:sectPr w:rsidR="00AB4E53" w:rsidSect="00D8602C">
      <w:type w:val="continuous"/>
      <w:pgSz w:w="16838" w:h="11906" w:orient="landscape"/>
      <w:pgMar w:top="1440" w:right="1440" w:bottom="1440" w:left="144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on">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F84E73"/>
    <w:multiLevelType w:val="hybridMultilevel"/>
    <w:tmpl w:val="9CEEE58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89672BA"/>
    <w:multiLevelType w:val="hybridMultilevel"/>
    <w:tmpl w:val="66F8BB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10"/>
  <w:displayHorizontalDrawingGridEvery w:val="2"/>
  <w:characterSpacingControl w:val="doNotCompress"/>
  <w:compat/>
  <w:rsids>
    <w:rsidRoot w:val="00650044"/>
    <w:rsid w:val="000442C2"/>
    <w:rsid w:val="000F7F75"/>
    <w:rsid w:val="00633AC8"/>
    <w:rsid w:val="00650044"/>
    <w:rsid w:val="00772DEF"/>
    <w:rsid w:val="007C6AC9"/>
    <w:rsid w:val="00AB4E53"/>
    <w:rsid w:val="00D8602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2C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E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E53"/>
    <w:rPr>
      <w:rFonts w:ascii="Tahoma" w:hAnsi="Tahoma" w:cs="Tahoma"/>
      <w:sz w:val="16"/>
      <w:szCs w:val="16"/>
    </w:rPr>
  </w:style>
  <w:style w:type="paragraph" w:styleId="NormalWeb">
    <w:name w:val="Normal (Web)"/>
    <w:basedOn w:val="Normal"/>
    <w:uiPriority w:val="99"/>
    <w:semiHidden/>
    <w:unhideWhenUsed/>
    <w:rsid w:val="00772DEF"/>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265459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558</Words>
  <Characters>3186</Characters>
  <Application>Microsoft Office Word</Application>
  <DocSecurity>0</DocSecurity>
  <Lines>26</Lines>
  <Paragraphs>7</Paragraphs>
  <ScaleCrop>false</ScaleCrop>
  <Company>HP</Company>
  <LinksUpToDate>false</LinksUpToDate>
  <CharactersWithSpaces>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khumesh</dc:creator>
  <cp:lastModifiedBy>khumesh</cp:lastModifiedBy>
  <cp:revision>8</cp:revision>
  <dcterms:created xsi:type="dcterms:W3CDTF">2017-01-16T07:56:00Z</dcterms:created>
  <dcterms:modified xsi:type="dcterms:W3CDTF">2017-01-16T09:05:00Z</dcterms:modified>
</cp:coreProperties>
</file>