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01F" w:rsidRDefault="00DE501F" w:rsidP="00DE501F">
      <w:pPr>
        <w:jc w:val="center"/>
        <w:rPr>
          <w:rFonts w:asciiTheme="majorBidi" w:hAnsiTheme="majorBidi" w:cstheme="majorBidi"/>
          <w:b/>
          <w:sz w:val="24"/>
          <w:szCs w:val="24"/>
        </w:rPr>
      </w:pPr>
      <w:r>
        <w:rPr>
          <w:rFonts w:asciiTheme="majorBidi" w:hAnsiTheme="majorBidi" w:cstheme="majorBidi"/>
          <w:b/>
          <w:sz w:val="24"/>
          <w:szCs w:val="24"/>
        </w:rPr>
        <w:t xml:space="preserve">Effect of the Arbuscular Mycorrhizal Fungus </w:t>
      </w:r>
      <w:r w:rsidRPr="00A42EBD">
        <w:rPr>
          <w:rFonts w:asciiTheme="majorBidi" w:hAnsiTheme="majorBidi" w:cstheme="majorBidi"/>
          <w:b/>
          <w:i/>
          <w:sz w:val="24"/>
          <w:szCs w:val="24"/>
        </w:rPr>
        <w:t>Rhizophag</w:t>
      </w:r>
      <w:r>
        <w:rPr>
          <w:rFonts w:asciiTheme="majorBidi" w:hAnsiTheme="majorBidi" w:cstheme="majorBidi"/>
          <w:b/>
          <w:i/>
          <w:sz w:val="24"/>
          <w:szCs w:val="24"/>
        </w:rPr>
        <w:t>u</w:t>
      </w:r>
      <w:r w:rsidRPr="00A42EBD">
        <w:rPr>
          <w:rFonts w:asciiTheme="majorBidi" w:hAnsiTheme="majorBidi" w:cstheme="majorBidi"/>
          <w:b/>
          <w:i/>
          <w:sz w:val="24"/>
          <w:szCs w:val="24"/>
        </w:rPr>
        <w:t>s</w:t>
      </w:r>
      <w:r w:rsidR="00122BEE">
        <w:rPr>
          <w:rFonts w:asciiTheme="majorBidi" w:hAnsiTheme="majorBidi" w:cstheme="majorBidi"/>
          <w:b/>
          <w:i/>
          <w:sz w:val="24"/>
          <w:szCs w:val="24"/>
        </w:rPr>
        <w:t xml:space="preserve"> </w:t>
      </w:r>
      <w:r w:rsidRPr="00A42EBD">
        <w:rPr>
          <w:rFonts w:asciiTheme="majorBidi" w:hAnsiTheme="majorBidi" w:cstheme="majorBidi"/>
          <w:b/>
          <w:i/>
          <w:sz w:val="24"/>
          <w:szCs w:val="24"/>
        </w:rPr>
        <w:t>irregularis</w:t>
      </w:r>
      <w:r>
        <w:rPr>
          <w:rFonts w:asciiTheme="majorBidi" w:hAnsiTheme="majorBidi" w:cstheme="majorBidi"/>
          <w:b/>
          <w:sz w:val="24"/>
          <w:szCs w:val="24"/>
        </w:rPr>
        <w:t xml:space="preserve"> on the Phosphorus Uptake of </w:t>
      </w:r>
      <w:r w:rsidRPr="00044423">
        <w:rPr>
          <w:rFonts w:asciiTheme="majorBidi" w:hAnsiTheme="majorBidi" w:cstheme="majorBidi"/>
          <w:b/>
          <w:sz w:val="24"/>
          <w:szCs w:val="24"/>
        </w:rPr>
        <w:t>Sorghum</w:t>
      </w:r>
      <w:r>
        <w:rPr>
          <w:rFonts w:asciiTheme="majorBidi" w:hAnsiTheme="majorBidi" w:cstheme="majorBidi"/>
          <w:b/>
          <w:sz w:val="24"/>
          <w:szCs w:val="24"/>
        </w:rPr>
        <w:t xml:space="preserve"> and Okra Plants under Water-Deficient Conditions</w:t>
      </w:r>
    </w:p>
    <w:p w:rsidR="00DE501F" w:rsidRPr="00A42EBD" w:rsidRDefault="00DE501F" w:rsidP="00DE501F">
      <w:pPr>
        <w:jc w:val="center"/>
        <w:rPr>
          <w:rFonts w:asciiTheme="majorBidi" w:hAnsiTheme="majorBidi" w:cstheme="majorBidi"/>
          <w:b/>
          <w:bCs/>
          <w:sz w:val="24"/>
          <w:szCs w:val="24"/>
        </w:rPr>
      </w:pPr>
    </w:p>
    <w:p w:rsidR="00DE501F" w:rsidRPr="00A42EBD" w:rsidRDefault="00DE501F" w:rsidP="00DE501F">
      <w:pPr>
        <w:jc w:val="both"/>
        <w:rPr>
          <w:rFonts w:asciiTheme="majorBidi" w:hAnsiTheme="majorBidi" w:cstheme="majorBidi"/>
          <w:color w:val="000000" w:themeColor="text1"/>
          <w:sz w:val="24"/>
          <w:szCs w:val="24"/>
          <w:lang w:val="de-DE"/>
        </w:rPr>
      </w:pPr>
      <w:r w:rsidRPr="00A42EBD">
        <w:rPr>
          <w:rFonts w:asciiTheme="majorBidi" w:hAnsiTheme="majorBidi" w:cstheme="majorBidi"/>
          <w:color w:val="000000" w:themeColor="text1"/>
          <w:sz w:val="24"/>
          <w:szCs w:val="24"/>
          <w:lang w:val="de-DE"/>
        </w:rPr>
        <w:t>Amna Eltigani</w:t>
      </w:r>
      <w:r w:rsidRPr="00A42EBD">
        <w:rPr>
          <w:rFonts w:asciiTheme="majorBidi" w:hAnsiTheme="majorBidi" w:cstheme="majorBidi"/>
          <w:color w:val="000000" w:themeColor="text1"/>
          <w:sz w:val="24"/>
          <w:szCs w:val="24"/>
          <w:vertAlign w:val="superscript"/>
          <w:lang w:val="de-DE"/>
        </w:rPr>
        <w:t>*+</w:t>
      </w:r>
      <w:r w:rsidRPr="00A42EBD">
        <w:rPr>
          <w:rFonts w:asciiTheme="majorBidi" w:hAnsiTheme="majorBidi" w:cstheme="majorBidi"/>
          <w:color w:val="000000" w:themeColor="text1"/>
          <w:sz w:val="24"/>
          <w:szCs w:val="24"/>
          <w:lang w:val="de-DE"/>
        </w:rPr>
        <w:t>, Benard Ngwene</w:t>
      </w:r>
      <w:r w:rsidRPr="00A42EBD">
        <w:rPr>
          <w:rFonts w:asciiTheme="majorBidi" w:hAnsiTheme="majorBidi" w:cstheme="majorBidi"/>
          <w:color w:val="000000" w:themeColor="text1"/>
          <w:sz w:val="24"/>
          <w:szCs w:val="24"/>
          <w:vertAlign w:val="superscript"/>
          <w:lang w:val="de-DE"/>
        </w:rPr>
        <w:t>*</w:t>
      </w:r>
      <w:r w:rsidRPr="00A42EBD">
        <w:rPr>
          <w:rFonts w:asciiTheme="majorBidi" w:hAnsiTheme="majorBidi" w:cstheme="majorBidi"/>
          <w:color w:val="000000" w:themeColor="text1"/>
          <w:sz w:val="24"/>
          <w:szCs w:val="24"/>
          <w:lang w:val="de-DE"/>
        </w:rPr>
        <w:t>, Anja Müller</w:t>
      </w:r>
      <w:r w:rsidRPr="00A42EBD">
        <w:rPr>
          <w:rFonts w:asciiTheme="majorBidi" w:hAnsiTheme="majorBidi" w:cstheme="majorBidi"/>
          <w:color w:val="000000" w:themeColor="text1"/>
          <w:sz w:val="24"/>
          <w:szCs w:val="24"/>
          <w:vertAlign w:val="superscript"/>
          <w:lang w:val="de-DE"/>
        </w:rPr>
        <w:t>*</w:t>
      </w:r>
      <w:r w:rsidRPr="00A42EBD">
        <w:rPr>
          <w:rFonts w:asciiTheme="majorBidi" w:hAnsiTheme="majorBidi" w:cstheme="majorBidi"/>
          <w:color w:val="000000" w:themeColor="text1"/>
          <w:sz w:val="24"/>
          <w:szCs w:val="24"/>
          <w:lang w:val="de-DE"/>
        </w:rPr>
        <w:t>,  Eckhard George</w:t>
      </w:r>
      <w:r w:rsidRPr="00A42EBD">
        <w:rPr>
          <w:rFonts w:asciiTheme="majorBidi" w:hAnsiTheme="majorBidi" w:cstheme="majorBidi"/>
          <w:color w:val="000000" w:themeColor="text1"/>
          <w:sz w:val="24"/>
          <w:szCs w:val="24"/>
          <w:vertAlign w:val="superscript"/>
          <w:lang w:val="de-DE"/>
        </w:rPr>
        <w:t>*+</w:t>
      </w:r>
    </w:p>
    <w:p w:rsidR="00AE3E37" w:rsidRPr="00DE501F" w:rsidRDefault="00AE3E37">
      <w:pPr>
        <w:pStyle w:val="a3"/>
        <w:rPr>
          <w:rFonts w:ascii="Arial"/>
          <w:sz w:val="20"/>
          <w:lang w:val="de-DE"/>
        </w:rPr>
      </w:pPr>
    </w:p>
    <w:p w:rsidR="00DE501F" w:rsidRDefault="00DE501F" w:rsidP="00DE501F">
      <w:pPr>
        <w:rPr>
          <w:rFonts w:ascii="Times New Roman" w:hAnsi="Times New Roman" w:cs="Times New Roman"/>
          <w:color w:val="000000" w:themeColor="text1"/>
          <w:sz w:val="18"/>
          <w:szCs w:val="18"/>
        </w:rPr>
      </w:pPr>
      <w:r w:rsidRPr="00A42EBD">
        <w:rPr>
          <w:rFonts w:ascii="Times New Roman" w:hAnsi="Times New Roman" w:cs="Times New Roman"/>
          <w:color w:val="000000" w:themeColor="text1"/>
          <w:sz w:val="18"/>
          <w:szCs w:val="18"/>
        </w:rPr>
        <w:t>*Institute of Vegetable and Ornamental Crops (IGZ), Theodor-Echtermeyer-Weg 1, 14979 Grossbeeren, Germany</w:t>
      </w:r>
    </w:p>
    <w:p w:rsidR="00DE501F" w:rsidRPr="00AF130B" w:rsidRDefault="00DE501F" w:rsidP="00DE501F">
      <w:pPr>
        <w:rPr>
          <w:rFonts w:ascii="Times New Roman" w:hAnsi="Times New Roman" w:cs="Times New Roman"/>
          <w:color w:val="000000" w:themeColor="text1"/>
          <w:sz w:val="18"/>
          <w:szCs w:val="18"/>
        </w:rPr>
      </w:pPr>
      <w:r w:rsidRPr="00AF130B">
        <w:rPr>
          <w:rFonts w:ascii="Times New Roman" w:hAnsi="Times New Roman" w:cs="Times New Roman"/>
          <w:color w:val="000000" w:themeColor="text1"/>
          <w:sz w:val="18"/>
          <w:szCs w:val="18"/>
          <w:vertAlign w:val="superscript"/>
        </w:rPr>
        <w:t>+</w:t>
      </w:r>
      <w:r w:rsidRPr="00AF130B">
        <w:rPr>
          <w:rFonts w:ascii="Times New Roman" w:hAnsi="Times New Roman" w:cs="Times New Roman"/>
          <w:color w:val="000000" w:themeColor="text1"/>
          <w:sz w:val="18"/>
          <w:szCs w:val="18"/>
        </w:rPr>
        <w:t>Humboldt-University Berlin, life science faculty, Albrecht Daniel Thaer-Institute of Agricultural and Horticultural Sciences  Invalidenstraße</w:t>
      </w:r>
      <w:r>
        <w:rPr>
          <w:rFonts w:ascii="Times New Roman" w:hAnsi="Times New Roman" w:cs="Times New Roman"/>
          <w:color w:val="000000" w:themeColor="text1"/>
          <w:sz w:val="18"/>
          <w:szCs w:val="18"/>
        </w:rPr>
        <w:t>,</w:t>
      </w:r>
      <w:r w:rsidRPr="00AF130B">
        <w:rPr>
          <w:rFonts w:ascii="Times New Roman" w:hAnsi="Times New Roman" w:cs="Times New Roman"/>
          <w:color w:val="000000" w:themeColor="text1"/>
          <w:sz w:val="18"/>
          <w:szCs w:val="18"/>
        </w:rPr>
        <w:t xml:space="preserve"> 42, 10115 Berlin , Germany </w:t>
      </w:r>
    </w:p>
    <w:p w:rsidR="00AE3E37" w:rsidRDefault="00AE3E37">
      <w:pPr>
        <w:pStyle w:val="a3"/>
        <w:spacing w:before="3"/>
        <w:rPr>
          <w:rFonts w:ascii="Arial"/>
          <w:sz w:val="21"/>
        </w:rPr>
      </w:pPr>
    </w:p>
    <w:p w:rsidR="00AE3E37" w:rsidRDefault="00AE3E37">
      <w:pPr>
        <w:rPr>
          <w:rFonts w:ascii="Arial"/>
          <w:sz w:val="21"/>
        </w:rPr>
      </w:pPr>
    </w:p>
    <w:p w:rsidR="00DE501F" w:rsidRDefault="00DE501F">
      <w:pPr>
        <w:rPr>
          <w:rFonts w:ascii="Arial"/>
          <w:sz w:val="21"/>
        </w:rPr>
        <w:sectPr w:rsidR="00DE501F">
          <w:headerReference w:type="default" r:id="rId7"/>
          <w:footerReference w:type="default" r:id="rId8"/>
          <w:type w:val="continuous"/>
          <w:pgSz w:w="11910" w:h="16840"/>
          <w:pgMar w:top="1740" w:right="600" w:bottom="840" w:left="620" w:header="541" w:footer="642" w:gutter="0"/>
          <w:cols w:space="720"/>
        </w:sectPr>
      </w:pPr>
    </w:p>
    <w:p w:rsidR="00432AB6" w:rsidRDefault="001A00E7" w:rsidP="00432AB6">
      <w:pPr>
        <w:jc w:val="both"/>
      </w:pPr>
      <w:r>
        <w:rPr>
          <w:noProof/>
        </w:rPr>
        <w:lastRenderedPageBreak/>
        <w:drawing>
          <wp:anchor distT="0" distB="0" distL="0" distR="0" simplePos="0" relativeHeight="251658240" behindDoc="0" locked="0" layoutInCell="1" allowOverlap="1">
            <wp:simplePos x="0" y="0"/>
            <wp:positionH relativeFrom="page">
              <wp:posOffset>4050665</wp:posOffset>
            </wp:positionH>
            <wp:positionV relativeFrom="paragraph">
              <wp:posOffset>650240</wp:posOffset>
            </wp:positionV>
            <wp:extent cx="2872105" cy="1609725"/>
            <wp:effectExtent l="19050" t="0" r="444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a:stretch>
                      <a:fillRect/>
                    </a:stretch>
                  </pic:blipFill>
                  <pic:spPr>
                    <a:xfrm>
                      <a:off x="0" y="0"/>
                      <a:ext cx="2872105" cy="1609725"/>
                    </a:xfrm>
                    <a:prstGeom prst="rect">
                      <a:avLst/>
                    </a:prstGeom>
                  </pic:spPr>
                </pic:pic>
              </a:graphicData>
            </a:graphic>
          </wp:anchor>
        </w:drawing>
      </w:r>
      <w:r w:rsidR="00432AB6">
        <w:t>Statement of the Problem:</w:t>
      </w:r>
      <w:r w:rsidR="00560316">
        <w:t xml:space="preserve"> </w:t>
      </w:r>
      <w:r w:rsidR="00432AB6" w:rsidRPr="001A00E7">
        <w:t>Mycorrhizal plants sometimes are able to tolerate drought stress better than non-mycorrhizal plants and therefore, maintain higher biomass production under dry soil conditions. Sorghum and Okra are highly consumed crops in Sudan because of their association with the native food and they are mainly grown in the rainfed area. Therefore, this study will assess the potential of AM fungi to enhance drought tolerance in both crops, and their effects on plant P and N uptake under drought conditions.</w:t>
      </w:r>
      <w:r w:rsidR="00432AB6" w:rsidRPr="001D3633">
        <w:t xml:space="preserve"> </w:t>
      </w:r>
      <w:r w:rsidR="00432AB6">
        <w:t>Methodology: S</w:t>
      </w:r>
      <w:r w:rsidR="00432AB6" w:rsidRPr="001A00E7">
        <w:t>orghum (Sorghum bicolor, L.) and okra (Abelmoschusesculentus, L.) were grown in sterilized and fertilized loamy sand, with two phosphorus supply levels: 50 mg P (P1) or 100 mg P (P2) per kg dry soil. Plants were either inoculated with R</w:t>
      </w:r>
      <w:r w:rsidR="00432AB6" w:rsidRPr="00560316">
        <w:rPr>
          <w:i/>
          <w:iCs/>
        </w:rPr>
        <w:t>.irregularis</w:t>
      </w:r>
      <w:r w:rsidR="00432AB6" w:rsidRPr="001A00E7">
        <w:t xml:space="preserve"> (+M) or left non-inoculated (-M). After four weeks of growth, plants were exposed to water stress, i.e. the soil was irrigated either to 15% (w/w) water content for the well-watered (+W), or 7% (w/w) for the water stress treatment (-W).</w:t>
      </w:r>
      <w:r w:rsidR="00432AB6" w:rsidRPr="001D3633">
        <w:t xml:space="preserve"> </w:t>
      </w:r>
      <w:r w:rsidR="00432AB6">
        <w:t xml:space="preserve">Findings: </w:t>
      </w:r>
      <w:r w:rsidR="00432AB6" w:rsidRPr="001A00E7">
        <w:t xml:space="preserve">Inoculated Sorghum plants, irrespective if grown under optimal phosphorus supply or phosphorus deficiency, showed a significant lower percentage of root length colonization (rlc) under water stress (-W) compared with well-watered plants (+W). In contrast under P stress (P1), plants were colonized on a high level in both water regimes. The rlc of Okra plants was between 80% and 93%, irrespective of the water supply. </w:t>
      </w:r>
      <w:r w:rsidR="00432AB6">
        <w:t>Conclusion &amp; Significance:</w:t>
      </w:r>
      <w:r w:rsidR="00432AB6" w:rsidRPr="001A00E7">
        <w:t xml:space="preserve"> as a result of the intended P supply , sorghum and okra plants showed a higher total P uptake and biomass production in treatment P2 than in P1, irrespective of the presence of AM fungi or of the water stress. Sorghum plants in P2 treatment did not benefit from AM fungal colonization, while by trend higher total uptake of P was shown in (P1/+M) than in (P1/-M). Okra plants showed a higher dependency on AM fungal colonization, since (+M) plants took up more than double the Phosphorus than (-M) plants. Conclusion : okra seems to have a clearly higher mycorrhizal dependency than sorghum, not only under deficient but also under optimal Phosphorus supply, the AM fungal contribution to okra plant P supply resulted into a much higher growth under water </w:t>
      </w:r>
      <w:r w:rsidR="00432AB6" w:rsidRPr="001A00E7">
        <w:lastRenderedPageBreak/>
        <w:t>stress.</w:t>
      </w:r>
    </w:p>
    <w:p w:rsidR="00D97457" w:rsidRPr="001A00E7" w:rsidRDefault="00D97457" w:rsidP="00432AB6">
      <w:pPr>
        <w:jc w:val="both"/>
      </w:pPr>
    </w:p>
    <w:p w:rsidR="00245EB4" w:rsidRDefault="00245EB4" w:rsidP="00DE501F">
      <w:pPr>
        <w:pStyle w:val="3"/>
        <w:spacing w:before="74"/>
        <w:ind w:left="0"/>
        <w:rPr>
          <w:rFonts w:ascii="Tw Cen MT" w:eastAsia="Tw Cen MT" w:hAnsi="Tw Cen MT" w:cs="Tw Cen MT"/>
          <w:b w:val="0"/>
          <w:bCs w:val="0"/>
          <w:sz w:val="22"/>
          <w:szCs w:val="22"/>
        </w:rPr>
      </w:pPr>
      <w:r>
        <w:rPr>
          <w:rFonts w:ascii="Tw Cen MT" w:eastAsia="Tw Cen MT" w:hAnsi="Tw Cen MT" w:cs="Tw Cen MT"/>
          <w:b w:val="0"/>
          <w:bCs w:val="0"/>
          <w:sz w:val="22"/>
          <w:szCs w:val="22"/>
        </w:rPr>
        <w:t>Figure 1: shoot dry weight of Sorghum and okra crops</w:t>
      </w:r>
    </w:p>
    <w:p w:rsidR="00DE501F" w:rsidRDefault="00DE501F" w:rsidP="00DE501F">
      <w:pPr>
        <w:pStyle w:val="normal"/>
        <w:spacing w:before="0" w:beforeAutospacing="0" w:after="0" w:afterAutospacing="0" w:line="360" w:lineRule="atLeast"/>
        <w:jc w:val="both"/>
        <w:rPr>
          <w:rStyle w:val="normalchar"/>
          <w:rFonts w:ascii="Calibri" w:hAnsi="Calibri"/>
          <w:color w:val="000000"/>
          <w:sz w:val="20"/>
          <w:szCs w:val="20"/>
        </w:rPr>
      </w:pPr>
    </w:p>
    <w:p w:rsidR="00AE3E37" w:rsidRPr="00DE501F" w:rsidRDefault="00DE501F" w:rsidP="00D97457">
      <w:pPr>
        <w:pStyle w:val="normal"/>
        <w:spacing w:before="0" w:beforeAutospacing="0" w:after="0" w:afterAutospacing="0"/>
        <w:jc w:val="both"/>
        <w:rPr>
          <w:rFonts w:ascii="Calibri" w:hAnsi="Calibri"/>
          <w:color w:val="000000"/>
          <w:sz w:val="22"/>
          <w:szCs w:val="22"/>
        </w:rPr>
      </w:pPr>
      <w:r>
        <w:rPr>
          <w:rStyle w:val="normalchar"/>
          <w:rFonts w:ascii="Calibri" w:hAnsi="Calibri"/>
          <w:color w:val="000000"/>
          <w:sz w:val="20"/>
          <w:szCs w:val="20"/>
        </w:rPr>
        <w:t>with mycorrhiza (+M) , without mycorrhiza (-M), 50 mg P /kg dry soil (P1), 100 mg P /kg dry soil (P2), 15 % (w/w) (+W), 7 % (w/w) (-W). The mean values obtained for the different treatments were compared using factorial ANOVA, Tukey’s test. Mean values labeled by the same letter are not significantly different.</w:t>
      </w:r>
    </w:p>
    <w:p w:rsidR="005973B9" w:rsidRPr="001A00E7" w:rsidRDefault="00CE0481" w:rsidP="00CE0481">
      <w:pPr>
        <w:spacing w:line="204" w:lineRule="exact"/>
      </w:pPr>
      <w:r>
        <w:br/>
        <w:t xml:space="preserve">Recent Publications </w:t>
      </w:r>
    </w:p>
    <w:p w:rsidR="00B5246A" w:rsidRPr="00527293" w:rsidRDefault="00B5246A" w:rsidP="00527293">
      <w:pPr>
        <w:pStyle w:val="a4"/>
        <w:numPr>
          <w:ilvl w:val="0"/>
          <w:numId w:val="3"/>
        </w:numPr>
        <w:autoSpaceDE w:val="0"/>
        <w:autoSpaceDN w:val="0"/>
        <w:adjustRightInd w:val="0"/>
        <w:rPr>
          <w:b/>
          <w:bCs/>
          <w:color w:val="00B050"/>
          <w:sz w:val="20"/>
          <w:szCs w:val="20"/>
        </w:rPr>
      </w:pPr>
      <w:r w:rsidRPr="00527293">
        <w:rPr>
          <w:sz w:val="20"/>
          <w:szCs w:val="20"/>
        </w:rPr>
        <w:t>Abdul-Wasea, A.A, Elhindi, K.M. (2011).Alleviation of drought stress of marigold (Tageteserecta) plants by using arbuscular mycorrhizal fungi. Saudi J BiolSci 18: 93-98.</w:t>
      </w:r>
    </w:p>
    <w:p w:rsidR="00C20989" w:rsidRDefault="00C20989" w:rsidP="00C20989">
      <w:pPr>
        <w:pStyle w:val="a4"/>
        <w:numPr>
          <w:ilvl w:val="0"/>
          <w:numId w:val="3"/>
        </w:numPr>
        <w:autoSpaceDE w:val="0"/>
        <w:autoSpaceDN w:val="0"/>
        <w:adjustRightInd w:val="0"/>
        <w:rPr>
          <w:sz w:val="20"/>
          <w:szCs w:val="20"/>
        </w:rPr>
      </w:pPr>
      <w:r w:rsidRPr="00C20989">
        <w:rPr>
          <w:sz w:val="20"/>
          <w:szCs w:val="20"/>
        </w:rPr>
        <w:t>Auge´, R.M., Kubikova, E., Moore, J.L. (2001a).Foliar dehydration tolerance of mycorrhizal cowpea, soybean and bush bean. New Phytol;151:535–41.</w:t>
      </w:r>
    </w:p>
    <w:p w:rsidR="00C20989" w:rsidRPr="00B5246A" w:rsidRDefault="00C20989" w:rsidP="00B5246A">
      <w:pPr>
        <w:pStyle w:val="a4"/>
        <w:numPr>
          <w:ilvl w:val="0"/>
          <w:numId w:val="3"/>
        </w:numPr>
        <w:autoSpaceDE w:val="0"/>
        <w:autoSpaceDN w:val="0"/>
        <w:adjustRightInd w:val="0"/>
        <w:rPr>
          <w:b/>
          <w:bCs/>
          <w:color w:val="00B050"/>
          <w:sz w:val="20"/>
          <w:szCs w:val="20"/>
        </w:rPr>
      </w:pPr>
      <w:r w:rsidRPr="00C20989">
        <w:rPr>
          <w:sz w:val="20"/>
          <w:szCs w:val="20"/>
        </w:rPr>
        <w:t>El Balla ,M. M. A., Saidahmed ,A. I, Makkawi ,M. (2011). Effect of moisture content and maturity on hard seededness and germination in okra (Abelmoschusesculentus L Moench) . Plant Physiology and Biochemistry . 3(6), pp. 102-107.</w:t>
      </w:r>
    </w:p>
    <w:p w:rsidR="005973B9" w:rsidRDefault="00B5246A" w:rsidP="005973B9">
      <w:pPr>
        <w:pStyle w:val="a4"/>
        <w:numPr>
          <w:ilvl w:val="0"/>
          <w:numId w:val="3"/>
        </w:numPr>
        <w:tabs>
          <w:tab w:val="left" w:pos="384"/>
        </w:tabs>
        <w:spacing w:line="216" w:lineRule="exact"/>
        <w:ind w:right="137" w:hanging="283"/>
        <w:rPr>
          <w:rFonts w:ascii="Tw Cen MT" w:eastAsia="Tw Cen MT" w:hAnsi="Tw Cen MT" w:cs="Tw Cen MT"/>
        </w:rPr>
      </w:pPr>
      <w:r w:rsidRPr="00311370">
        <w:rPr>
          <w:sz w:val="20"/>
          <w:szCs w:val="20"/>
        </w:rPr>
        <w:t>Neumann, E., George, E. (2004). Colonisation with the arbuscular mycorrhizal fungus Glomus mosseae (Nicol.&amp;Gerd.)enhanced phosphorus uptake from dry soil in Sorghum bicolor (L.) Plant and Soil 261: 245–255.</w:t>
      </w:r>
    </w:p>
    <w:p w:rsidR="00C20989" w:rsidRPr="00C20989" w:rsidRDefault="00C20989" w:rsidP="00C20989">
      <w:pPr>
        <w:pStyle w:val="a4"/>
        <w:numPr>
          <w:ilvl w:val="0"/>
          <w:numId w:val="3"/>
        </w:numPr>
        <w:tabs>
          <w:tab w:val="left" w:pos="384"/>
        </w:tabs>
        <w:spacing w:line="216" w:lineRule="exact"/>
        <w:ind w:right="137" w:hanging="283"/>
        <w:rPr>
          <w:rFonts w:ascii="Tw Cen MT" w:eastAsia="Tw Cen MT" w:hAnsi="Tw Cen MT" w:cs="Tw Cen MT"/>
        </w:rPr>
      </w:pPr>
      <w:r w:rsidRPr="00C20989">
        <w:rPr>
          <w:sz w:val="20"/>
          <w:szCs w:val="20"/>
        </w:rPr>
        <w:t>Smith, S.E., Read, D.J. (2008) .Mycorrhizal Symbioses, third ed. Academic Press ,UK.</w:t>
      </w:r>
    </w:p>
    <w:p w:rsidR="00C20989" w:rsidRPr="00C20989" w:rsidRDefault="00C20989" w:rsidP="00C20989">
      <w:pPr>
        <w:pStyle w:val="a4"/>
        <w:autoSpaceDE w:val="0"/>
        <w:autoSpaceDN w:val="0"/>
        <w:adjustRightInd w:val="0"/>
        <w:ind w:firstLine="0"/>
        <w:rPr>
          <w:sz w:val="20"/>
          <w:szCs w:val="20"/>
        </w:rPr>
      </w:pPr>
    </w:p>
    <w:p w:rsidR="00AE3E37" w:rsidRPr="001A00E7" w:rsidRDefault="00AE3E37">
      <w:pPr>
        <w:spacing w:line="200" w:lineRule="exact"/>
        <w:jc w:val="both"/>
        <w:sectPr w:rsidR="00AE3E37" w:rsidRPr="001A00E7">
          <w:type w:val="continuous"/>
          <w:pgSz w:w="11910" w:h="16840"/>
          <w:pgMar w:top="1740" w:right="600" w:bottom="840" w:left="620" w:header="720" w:footer="720" w:gutter="0"/>
          <w:cols w:num="2" w:space="720" w:equalWidth="0">
            <w:col w:w="5214" w:space="138"/>
            <w:col w:w="5338"/>
          </w:cols>
        </w:sectPr>
      </w:pPr>
    </w:p>
    <w:p w:rsidR="00AE3E37" w:rsidRPr="001A00E7" w:rsidRDefault="00AE3E37">
      <w:pPr>
        <w:pStyle w:val="a3"/>
        <w:rPr>
          <w:sz w:val="22"/>
          <w:szCs w:val="22"/>
        </w:rPr>
      </w:pPr>
    </w:p>
    <w:p w:rsidR="00AE3E37" w:rsidRDefault="00C6319B">
      <w:pPr>
        <w:pStyle w:val="a3"/>
        <w:spacing w:line="40" w:lineRule="exact"/>
        <w:ind w:left="2202"/>
        <w:rPr>
          <w:rFonts w:ascii="Calibri"/>
          <w:sz w:val="4"/>
        </w:rPr>
      </w:pPr>
      <w:r w:rsidRPr="00C6319B">
        <w:rPr>
          <w:rFonts w:ascii="Calibri"/>
          <w:noProof/>
          <w:sz w:val="4"/>
          <w:lang w:val="en-IN" w:eastAsia="en-IN"/>
        </w:rPr>
      </w:r>
      <w:r w:rsidRPr="00C6319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94610" w:rsidP="00C94610">
      <w:pPr>
        <w:spacing w:before="92"/>
        <w:ind w:right="4234"/>
        <w:rPr>
          <w:rFonts w:ascii="Arial"/>
        </w:rPr>
      </w:pPr>
      <w:r>
        <w:rPr>
          <w:noProof/>
        </w:rPr>
        <w:drawing>
          <wp:inline distT="0" distB="0" distL="0" distR="0">
            <wp:extent cx="577252" cy="687332"/>
            <wp:effectExtent l="19050" t="0" r="0" b="0"/>
            <wp:docPr id="3" name="صورة 2" descr="Image result for igz grossbeeren amna eltig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gz grossbeeren amna eltigani"/>
                    <pic:cNvPicPr>
                      <a:picLocks noChangeAspect="1" noChangeArrowheads="1"/>
                    </pic:cNvPicPr>
                  </pic:nvPicPr>
                  <pic:blipFill>
                    <a:blip r:embed="rId10" cstate="print"/>
                    <a:srcRect/>
                    <a:stretch>
                      <a:fillRect/>
                    </a:stretch>
                  </pic:blipFill>
                  <pic:spPr bwMode="auto">
                    <a:xfrm flipH="1">
                      <a:off x="0" y="0"/>
                      <a:ext cx="577029" cy="687066"/>
                    </a:xfrm>
                    <a:prstGeom prst="rect">
                      <a:avLst/>
                    </a:prstGeom>
                    <a:noFill/>
                    <a:ln w="9525">
                      <a:noFill/>
                      <a:miter lim="800000"/>
                      <a:headEnd/>
                      <a:tailEnd/>
                    </a:ln>
                  </pic:spPr>
                </pic:pic>
              </a:graphicData>
            </a:graphic>
          </wp:inline>
        </w:drawing>
      </w:r>
    </w:p>
    <w:p w:rsidR="00AE3E37" w:rsidRDefault="00CE0481" w:rsidP="00CE0481">
      <w:pPr>
        <w:spacing w:before="41" w:line="154" w:lineRule="exact"/>
        <w:ind w:left="213" w:right="231"/>
        <w:jc w:val="both"/>
        <w:rPr>
          <w:rFonts w:ascii="Arial"/>
          <w:sz w:val="14"/>
        </w:rPr>
      </w:pPr>
      <w:r>
        <w:rPr>
          <w:rFonts w:ascii="Arial"/>
          <w:sz w:val="14"/>
        </w:rPr>
        <w:t xml:space="preserve">Amna Eltigani </w:t>
      </w:r>
      <w:r w:rsidR="00A9710C">
        <w:rPr>
          <w:rFonts w:ascii="Arial"/>
          <w:sz w:val="14"/>
        </w:rPr>
        <w:t xml:space="preserve">has her expertise in </w:t>
      </w:r>
      <w:r>
        <w:rPr>
          <w:rFonts w:ascii="Arial"/>
          <w:sz w:val="14"/>
        </w:rPr>
        <w:t xml:space="preserve">studying the beneficial soil microorganisms that improve the productivity and the quality of some important food crops under the environmentally stressed conditions in Sudan . </w:t>
      </w:r>
      <w:r w:rsidR="00C94610" w:rsidRPr="00C94610">
        <w:rPr>
          <w:rFonts w:ascii="Arial"/>
          <w:sz w:val="14"/>
        </w:rPr>
        <w:t>Assess</w:t>
      </w:r>
      <w:r w:rsidR="00C94610">
        <w:rPr>
          <w:rFonts w:ascii="Arial"/>
          <w:sz w:val="14"/>
        </w:rPr>
        <w:t>ing</w:t>
      </w:r>
      <w:r w:rsidR="00C94610" w:rsidRPr="00C94610">
        <w:rPr>
          <w:rFonts w:ascii="Arial"/>
          <w:sz w:val="14"/>
        </w:rPr>
        <w:t xml:space="preserve"> the potential of AM fungi to enhance the drought tolerance of Sorghu</w:t>
      </w:r>
      <w:r w:rsidR="00C94610">
        <w:rPr>
          <w:rFonts w:ascii="Arial"/>
          <w:sz w:val="14"/>
        </w:rPr>
        <w:t>m and Okra under drought stress is the focus of her current PhD project .</w:t>
      </w:r>
    </w:p>
    <w:p w:rsidR="00AE3E37" w:rsidRDefault="00A9710C" w:rsidP="00CE0481">
      <w:pPr>
        <w:spacing w:before="62"/>
        <w:ind w:left="4217" w:right="4235"/>
        <w:jc w:val="center"/>
        <w:rPr>
          <w:rFonts w:ascii="Arial"/>
          <w:sz w:val="14"/>
        </w:rPr>
      </w:pPr>
      <w:r>
        <w:rPr>
          <w:rFonts w:ascii="Arial"/>
          <w:sz w:val="14"/>
        </w:rPr>
        <w:t xml:space="preserve">Email: </w:t>
      </w:r>
      <w:hyperlink r:id="rId11" w:history="1">
        <w:r w:rsidR="00CE0481" w:rsidRPr="00593683">
          <w:rPr>
            <w:rStyle w:val="Hyperlink"/>
            <w:rFonts w:ascii="Arial"/>
            <w:sz w:val="14"/>
          </w:rPr>
          <w:t>Eltigani@igzev.de</w:t>
        </w:r>
      </w:hyperlink>
      <w:r w:rsidR="00CE0481">
        <w:t xml:space="preserve"> </w:t>
      </w:r>
    </w:p>
    <w:p w:rsidR="00AE3E37" w:rsidRDefault="00C6319B">
      <w:pPr>
        <w:pStyle w:val="a3"/>
        <w:spacing w:before="2"/>
        <w:rPr>
          <w:rFonts w:ascii="Arial"/>
          <w:sz w:val="19"/>
        </w:rPr>
      </w:pPr>
      <w:r w:rsidRPr="00C6319B">
        <w:rPr>
          <w:noProof/>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42A" w:rsidRDefault="00CF742A">
      <w:r>
        <w:separator/>
      </w:r>
    </w:p>
  </w:endnote>
  <w:endnote w:type="continuationSeparator" w:id="1">
    <w:p w:rsidR="00CF742A" w:rsidRDefault="00CF742A">
      <w:r>
        <w:continuationSeparator/>
      </w:r>
    </w:p>
  </w:endnote>
</w:endnotes>
</file>

<file path=word/fontTable.xml><?xml version="1.0" encoding="utf-8"?>
<w:fonts xmlns:r="http://schemas.openxmlformats.org/officeDocument/2006/relationships" xmlns:w="http://schemas.openxmlformats.org/wordprocessingml/2006/main">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6319B">
    <w:pPr>
      <w:pStyle w:val="a3"/>
      <w:spacing w:line="14" w:lineRule="auto"/>
      <w:rPr>
        <w:sz w:val="20"/>
      </w:rPr>
    </w:pPr>
    <w:r w:rsidRPr="00C6319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6319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6319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42A" w:rsidRDefault="00CF742A">
      <w:r>
        <w:separator/>
      </w:r>
    </w:p>
  </w:footnote>
  <w:footnote w:type="continuationSeparator" w:id="1">
    <w:p w:rsidR="00CF742A" w:rsidRDefault="00CF74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6319B">
    <w:pPr>
      <w:pStyle w:val="a3"/>
      <w:spacing w:line="14" w:lineRule="auto"/>
      <w:rPr>
        <w:sz w:val="20"/>
      </w:rPr>
    </w:pPr>
    <w:r w:rsidRPr="00C6319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6319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413C1BBA"/>
    <w:lvl w:ilvl="0" w:tplc="F64E91C4">
      <w:start w:val="1"/>
      <w:numFmt w:val="decimal"/>
      <w:lvlText w:val="%1."/>
      <w:lvlJc w:val="left"/>
      <w:pPr>
        <w:ind w:left="383" w:hanging="284"/>
      </w:pPr>
      <w:rPr>
        <w:rFonts w:ascii="Tw Cen MT" w:eastAsia="Tw Cen MT" w:hAnsi="Tw Cen MT" w:cs="Tw Cen MT"/>
        <w:b w:val="0"/>
        <w:bCs w:val="0"/>
        <w:color w:val="000000" w:themeColor="text1"/>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2BEE"/>
    <w:rsid w:val="001263DF"/>
    <w:rsid w:val="001A00E7"/>
    <w:rsid w:val="00244F59"/>
    <w:rsid w:val="00245EB4"/>
    <w:rsid w:val="00284D56"/>
    <w:rsid w:val="00292ED9"/>
    <w:rsid w:val="00404E5B"/>
    <w:rsid w:val="00414F7B"/>
    <w:rsid w:val="00432AB6"/>
    <w:rsid w:val="004355DC"/>
    <w:rsid w:val="004749B4"/>
    <w:rsid w:val="004823D7"/>
    <w:rsid w:val="00494130"/>
    <w:rsid w:val="004F3523"/>
    <w:rsid w:val="00527293"/>
    <w:rsid w:val="00560316"/>
    <w:rsid w:val="005973B9"/>
    <w:rsid w:val="005B3A56"/>
    <w:rsid w:val="006060CE"/>
    <w:rsid w:val="0062351B"/>
    <w:rsid w:val="0063497F"/>
    <w:rsid w:val="00710043"/>
    <w:rsid w:val="00873DF0"/>
    <w:rsid w:val="008756E6"/>
    <w:rsid w:val="0096549D"/>
    <w:rsid w:val="009B2D44"/>
    <w:rsid w:val="00A07E82"/>
    <w:rsid w:val="00A9710C"/>
    <w:rsid w:val="00AE3E37"/>
    <w:rsid w:val="00B21A57"/>
    <w:rsid w:val="00B5246A"/>
    <w:rsid w:val="00BD2B97"/>
    <w:rsid w:val="00C20989"/>
    <w:rsid w:val="00C33602"/>
    <w:rsid w:val="00C6319B"/>
    <w:rsid w:val="00C94610"/>
    <w:rsid w:val="00CA4B04"/>
    <w:rsid w:val="00CD6F55"/>
    <w:rsid w:val="00CE0481"/>
    <w:rsid w:val="00CF742A"/>
    <w:rsid w:val="00D97457"/>
    <w:rsid w:val="00DE3104"/>
    <w:rsid w:val="00DE501F"/>
    <w:rsid w:val="00F72EEA"/>
    <w:rsid w:val="00F84CAE"/>
    <w:rsid w:val="00FE455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customStyle="1" w:styleId="normal">
    <w:name w:val="normal"/>
    <w:basedOn w:val="a"/>
    <w:rsid w:val="00DE501F"/>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char">
    <w:name w:val="normal__char"/>
    <w:basedOn w:val="a0"/>
    <w:rsid w:val="00DE50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7518988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5911737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99320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tigani@igzev.d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665</Words>
  <Characters>3793</Characters>
  <Application>Microsoft Office Word</Application>
  <DocSecurity>0</DocSecurity>
  <Lines>31</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Yousif</cp:lastModifiedBy>
  <cp:revision>11</cp:revision>
  <dcterms:created xsi:type="dcterms:W3CDTF">2017-01-10T18:06:00Z</dcterms:created>
  <dcterms:modified xsi:type="dcterms:W3CDTF">2017-01-10T22:34:00Z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