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B45" w:rsidRDefault="004C5B45" w:rsidP="00D863B1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E76B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Wild and Cultivated Pomegranate diversity estimation through morpho-chemical and molecular </w:t>
      </w:r>
      <w:r w:rsidR="00FE76B1">
        <w:rPr>
          <w:rFonts w:ascii="Times New Roman" w:eastAsia="Calibri" w:hAnsi="Times New Roman" w:cs="Times New Roman"/>
          <w:b/>
          <w:bCs/>
          <w:sz w:val="24"/>
          <w:szCs w:val="24"/>
        </w:rPr>
        <w:t>analysis</w:t>
      </w:r>
    </w:p>
    <w:p w:rsidR="00FE76B1" w:rsidRDefault="00FE76B1" w:rsidP="00F00FF6">
      <w:pPr>
        <w:jc w:val="both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FE76B1">
        <w:rPr>
          <w:rFonts w:ascii="Times New Roman" w:eastAsia="Calibri" w:hAnsi="Times New Roman" w:cs="Times New Roman"/>
          <w:sz w:val="24"/>
          <w:szCs w:val="24"/>
        </w:rPr>
        <w:t xml:space="preserve">Muhammad Nafees </w:t>
      </w:r>
      <w:r w:rsidRPr="00FE76B1">
        <w:rPr>
          <w:rFonts w:ascii="Times New Roman" w:eastAsia="Calibri" w:hAnsi="Times New Roman" w:cs="Times New Roman"/>
          <w:sz w:val="24"/>
          <w:szCs w:val="24"/>
          <w:vertAlign w:val="superscript"/>
        </w:rPr>
        <w:t>1 *</w:t>
      </w:r>
      <w:r w:rsidRPr="00FE76B1">
        <w:rPr>
          <w:rFonts w:ascii="Times New Roman" w:eastAsia="Calibri" w:hAnsi="Times New Roman" w:cs="Times New Roman"/>
          <w:sz w:val="24"/>
          <w:szCs w:val="24"/>
        </w:rPr>
        <w:t xml:space="preserve">, Muhammad Jafar Jaskani </w:t>
      </w:r>
      <w:r w:rsidRPr="00FE76B1"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r w:rsidRPr="00FE76B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F00FF6">
        <w:rPr>
          <w:rFonts w:ascii="Times New Roman" w:eastAsia="Calibri" w:hAnsi="Times New Roman" w:cs="Times New Roman"/>
          <w:sz w:val="24"/>
          <w:szCs w:val="24"/>
        </w:rPr>
        <w:t xml:space="preserve">Muhammad Salman Haider </w:t>
      </w:r>
      <w:r w:rsidR="00F00FF6" w:rsidRPr="00FE76B1"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r w:rsidR="00F00FF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FE76B1">
        <w:rPr>
          <w:rFonts w:ascii="Times New Roman" w:eastAsia="Calibri" w:hAnsi="Times New Roman" w:cs="Times New Roman"/>
          <w:sz w:val="24"/>
          <w:szCs w:val="24"/>
        </w:rPr>
        <w:t xml:space="preserve">Ishtiaq Ahmad </w:t>
      </w:r>
      <w:r w:rsidRPr="00FE76B1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="00F00F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E76B1">
        <w:rPr>
          <w:rFonts w:ascii="Times New Roman" w:eastAsia="Calibri" w:hAnsi="Times New Roman" w:cs="Times New Roman"/>
          <w:sz w:val="24"/>
          <w:szCs w:val="24"/>
        </w:rPr>
        <w:t xml:space="preserve">and Summar Abbas Naqvi </w:t>
      </w:r>
      <w:r w:rsidRPr="00FE76B1"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</w:p>
    <w:p w:rsidR="00F00FF6" w:rsidRPr="00F00FF6" w:rsidRDefault="00F00FF6" w:rsidP="00F00FF6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76B1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Department of Horticultural Sciences, University College of Agriculture &amp; environmental Sciences, The Islamia University of Bahawalpur, Pakistan. </w:t>
      </w:r>
      <w:r w:rsidRPr="00FE76B1"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Institute of Horticultural Sciences, University of Agriculture Faisalabad, Pakistan</w:t>
      </w:r>
    </w:p>
    <w:p w:rsidR="00FE76B1" w:rsidRPr="00FE76B1" w:rsidRDefault="00FE76B1" w:rsidP="00F00FF6">
      <w:pPr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</w:rPr>
        <w:t>*</w:t>
      </w:r>
      <w:r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</w:rPr>
        <w:t xml:space="preserve"> Corresponding Author: Muhammad. nafees@iub.edu.pk</w:t>
      </w:r>
    </w:p>
    <w:p w:rsidR="00FE76B1" w:rsidRDefault="004C5B45" w:rsidP="006B229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E76B1">
        <w:rPr>
          <w:rFonts w:ascii="Times New Roman" w:hAnsi="Times New Roman"/>
          <w:sz w:val="24"/>
          <w:szCs w:val="24"/>
        </w:rPr>
        <w:t>Pomegranate (</w:t>
      </w:r>
      <w:r w:rsidRPr="00FE76B1">
        <w:rPr>
          <w:rFonts w:ascii="Times New Roman" w:hAnsi="Times New Roman"/>
          <w:i/>
          <w:sz w:val="24"/>
          <w:szCs w:val="24"/>
        </w:rPr>
        <w:t>Punica granatum</w:t>
      </w:r>
      <w:r w:rsidRPr="00FE76B1">
        <w:rPr>
          <w:rFonts w:ascii="Times New Roman" w:hAnsi="Times New Roman"/>
          <w:sz w:val="24"/>
          <w:szCs w:val="24"/>
        </w:rPr>
        <w:t xml:space="preserve"> L.) is an </w:t>
      </w:r>
      <w:r w:rsidRPr="00FE76B1">
        <w:rPr>
          <w:rFonts w:ascii="Times New Roman" w:hAnsi="Times New Roman"/>
          <w:sz w:val="24"/>
          <w:szCs w:val="24"/>
        </w:rPr>
        <w:t>imperative</w:t>
      </w:r>
      <w:r w:rsidRPr="00FE76B1">
        <w:rPr>
          <w:rFonts w:ascii="Times New Roman" w:hAnsi="Times New Roman"/>
          <w:sz w:val="24"/>
          <w:szCs w:val="24"/>
        </w:rPr>
        <w:t xml:space="preserve"> fruit </w:t>
      </w:r>
      <w:r w:rsidRPr="00FE76B1">
        <w:rPr>
          <w:rFonts w:ascii="Times New Roman" w:hAnsi="Times New Roman"/>
          <w:sz w:val="24"/>
          <w:szCs w:val="24"/>
        </w:rPr>
        <w:t xml:space="preserve">and always demanded in the market </w:t>
      </w:r>
      <w:r w:rsidRPr="00FE76B1">
        <w:rPr>
          <w:rFonts w:ascii="Times New Roman" w:hAnsi="Times New Roman"/>
          <w:sz w:val="24"/>
          <w:szCs w:val="24"/>
        </w:rPr>
        <w:t xml:space="preserve">for its </w:t>
      </w:r>
      <w:r w:rsidRPr="00FE76B1">
        <w:rPr>
          <w:rFonts w:ascii="Times New Roman" w:hAnsi="Times New Roman"/>
          <w:sz w:val="24"/>
          <w:szCs w:val="24"/>
        </w:rPr>
        <w:t xml:space="preserve">meditional, </w:t>
      </w:r>
      <w:r w:rsidRPr="00FE76B1">
        <w:rPr>
          <w:rFonts w:ascii="Times New Roman" w:hAnsi="Times New Roman"/>
          <w:sz w:val="24"/>
          <w:szCs w:val="24"/>
        </w:rPr>
        <w:t>nutriti</w:t>
      </w:r>
      <w:r w:rsidRPr="00FE76B1">
        <w:rPr>
          <w:rFonts w:ascii="Times New Roman" w:hAnsi="Times New Roman"/>
          <w:sz w:val="24"/>
          <w:szCs w:val="24"/>
        </w:rPr>
        <w:t>onal</w:t>
      </w:r>
      <w:r w:rsidRPr="00FE76B1">
        <w:rPr>
          <w:rFonts w:ascii="Times New Roman" w:hAnsi="Times New Roman"/>
          <w:sz w:val="24"/>
          <w:szCs w:val="24"/>
        </w:rPr>
        <w:t xml:space="preserve"> and pharmaceutical </w:t>
      </w:r>
      <w:r w:rsidRPr="00FE76B1">
        <w:rPr>
          <w:rFonts w:ascii="Times New Roman" w:hAnsi="Times New Roman"/>
          <w:sz w:val="24"/>
          <w:szCs w:val="24"/>
        </w:rPr>
        <w:t>significant</w:t>
      </w:r>
      <w:r w:rsidRPr="00FE76B1">
        <w:rPr>
          <w:rFonts w:ascii="Times New Roman" w:hAnsi="Times New Roman"/>
          <w:sz w:val="24"/>
          <w:szCs w:val="24"/>
        </w:rPr>
        <w:t>.</w:t>
      </w:r>
      <w:r w:rsidRPr="00FE76B1">
        <w:rPr>
          <w:rFonts w:ascii="Times New Roman" w:hAnsi="Times New Roman"/>
          <w:sz w:val="24"/>
          <w:szCs w:val="24"/>
        </w:rPr>
        <w:t xml:space="preserve"> Its </w:t>
      </w:r>
      <w:r w:rsidR="00D863B1" w:rsidRPr="00FE76B1">
        <w:rPr>
          <w:rFonts w:ascii="Times New Roman" w:eastAsia="Calibri" w:hAnsi="Times New Roman" w:cs="Times New Roman"/>
          <w:sz w:val="24"/>
          <w:szCs w:val="24"/>
        </w:rPr>
        <w:t>juice is eminent for health</w:t>
      </w:r>
      <w:r w:rsidRPr="00FE76B1">
        <w:rPr>
          <w:rFonts w:ascii="Times New Roman" w:eastAsia="Calibri" w:hAnsi="Times New Roman" w:cs="Times New Roman"/>
          <w:sz w:val="24"/>
          <w:szCs w:val="24"/>
        </w:rPr>
        <w:t>.</w:t>
      </w:r>
      <w:r w:rsidR="00D863B1" w:rsidRPr="00FE76B1">
        <w:rPr>
          <w:rFonts w:ascii="Times New Roman" w:eastAsia="Calibri" w:hAnsi="Times New Roman" w:cs="Times New Roman"/>
          <w:sz w:val="24"/>
          <w:szCs w:val="24"/>
        </w:rPr>
        <w:t xml:space="preserve"> This study was </w:t>
      </w:r>
      <w:r w:rsidRPr="00FE76B1">
        <w:rPr>
          <w:rFonts w:ascii="Times New Roman" w:eastAsia="Calibri" w:hAnsi="Times New Roman" w:cs="Times New Roman"/>
          <w:sz w:val="24"/>
          <w:szCs w:val="24"/>
        </w:rPr>
        <w:t xml:space="preserve">planned </w:t>
      </w:r>
      <w:r w:rsidR="00D863B1" w:rsidRPr="00FE76B1">
        <w:rPr>
          <w:rFonts w:ascii="Times New Roman" w:eastAsia="Calibri" w:hAnsi="Times New Roman" w:cs="Times New Roman"/>
          <w:sz w:val="24"/>
          <w:szCs w:val="24"/>
        </w:rPr>
        <w:t xml:space="preserve">to investigate, morphological, </w:t>
      </w:r>
      <w:r w:rsidR="00F00FF6">
        <w:rPr>
          <w:rFonts w:ascii="Times New Roman" w:eastAsia="Calibri" w:hAnsi="Times New Roman" w:cs="Times New Roman"/>
          <w:sz w:val="24"/>
          <w:szCs w:val="24"/>
        </w:rPr>
        <w:t>ch</w:t>
      </w:r>
      <w:r w:rsidR="00D863B1" w:rsidRPr="00FE76B1">
        <w:rPr>
          <w:rFonts w:ascii="Times New Roman" w:eastAsia="Calibri" w:hAnsi="Times New Roman" w:cs="Times New Roman"/>
          <w:sz w:val="24"/>
          <w:szCs w:val="24"/>
        </w:rPr>
        <w:t xml:space="preserve">emical </w:t>
      </w:r>
      <w:r w:rsidR="00D863B1" w:rsidRPr="00FE76B1">
        <w:rPr>
          <w:rFonts w:ascii="Times New Roman" w:eastAsia="Calibri" w:hAnsi="Times New Roman" w:cs="Times New Roman"/>
          <w:sz w:val="24"/>
          <w:szCs w:val="24"/>
        </w:rPr>
        <w:t>and molecular diversity</w:t>
      </w:r>
      <w:r w:rsidR="00D863B1" w:rsidRPr="00FE76B1">
        <w:rPr>
          <w:rFonts w:ascii="Times New Roman" w:eastAsia="Calibri" w:hAnsi="Times New Roman" w:cs="Times New Roman"/>
          <w:sz w:val="24"/>
          <w:szCs w:val="24"/>
        </w:rPr>
        <w:t xml:space="preserve"> in </w:t>
      </w:r>
      <w:r w:rsidRPr="00FE76B1">
        <w:rPr>
          <w:rFonts w:ascii="Times New Roman" w:eastAsia="Calibri" w:hAnsi="Times New Roman" w:cs="Times New Roman"/>
          <w:sz w:val="24"/>
          <w:szCs w:val="24"/>
        </w:rPr>
        <w:t>pomegranate germplasm</w:t>
      </w:r>
      <w:r w:rsidR="00F00FF6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F00FF6" w:rsidRPr="00FE76B1">
        <w:rPr>
          <w:rFonts w:ascii="Times New Roman" w:eastAsia="Calibri" w:hAnsi="Times New Roman" w:cs="Times New Roman"/>
          <w:sz w:val="24"/>
          <w:szCs w:val="24"/>
        </w:rPr>
        <w:t>wild and cultivated</w:t>
      </w:r>
      <w:r w:rsidR="00F00FF6">
        <w:rPr>
          <w:rFonts w:ascii="Times New Roman" w:eastAsia="Calibri" w:hAnsi="Times New Roman" w:cs="Times New Roman"/>
          <w:sz w:val="24"/>
          <w:szCs w:val="24"/>
        </w:rPr>
        <w:t>)</w:t>
      </w:r>
      <w:r w:rsidR="00D863B1" w:rsidRPr="00FE76B1">
        <w:rPr>
          <w:rFonts w:ascii="Times New Roman" w:eastAsia="Calibri" w:hAnsi="Times New Roman" w:cs="Times New Roman"/>
          <w:sz w:val="24"/>
          <w:szCs w:val="24"/>
        </w:rPr>
        <w:t>.</w:t>
      </w:r>
      <w:r w:rsidR="00D863B1" w:rsidRPr="00FE76B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E76B1" w:rsidRPr="00FE76B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E76B1" w:rsidRPr="00FE76B1">
        <w:rPr>
          <w:rFonts w:ascii="Times New Roman" w:hAnsi="Times New Roman"/>
          <w:sz w:val="24"/>
          <w:szCs w:val="24"/>
        </w:rPr>
        <w:t xml:space="preserve">Multivariate analysis </w:t>
      </w:r>
      <w:r w:rsidR="00F00FF6">
        <w:rPr>
          <w:rFonts w:ascii="Times New Roman" w:hAnsi="Times New Roman"/>
          <w:sz w:val="24"/>
          <w:szCs w:val="24"/>
        </w:rPr>
        <w:t xml:space="preserve">of morphological data </w:t>
      </w:r>
      <w:r w:rsidR="00F00FF6" w:rsidRPr="00FE76B1">
        <w:rPr>
          <w:rFonts w:ascii="Times New Roman" w:hAnsi="Times New Roman"/>
          <w:sz w:val="24"/>
          <w:szCs w:val="24"/>
        </w:rPr>
        <w:t>proved</w:t>
      </w:r>
      <w:r w:rsidR="00F00FF6">
        <w:rPr>
          <w:rFonts w:ascii="Times New Roman" w:hAnsi="Times New Roman"/>
          <w:sz w:val="24"/>
          <w:szCs w:val="24"/>
        </w:rPr>
        <w:t xml:space="preserve"> germplasm as highly diverse</w:t>
      </w:r>
      <w:r w:rsidR="00FE76B1" w:rsidRPr="00FE76B1">
        <w:rPr>
          <w:rFonts w:ascii="Times New Roman" w:hAnsi="Times New Roman"/>
          <w:sz w:val="24"/>
          <w:szCs w:val="24"/>
        </w:rPr>
        <w:t xml:space="preserve"> </w:t>
      </w:r>
      <w:r w:rsidR="00F00FF6">
        <w:rPr>
          <w:rFonts w:ascii="Times New Roman" w:hAnsi="Times New Roman"/>
          <w:sz w:val="24"/>
          <w:szCs w:val="24"/>
        </w:rPr>
        <w:t xml:space="preserve">as </w:t>
      </w:r>
      <w:r w:rsidR="00FE76B1" w:rsidRPr="00FE76B1">
        <w:rPr>
          <w:rFonts w:ascii="Times New Roman" w:hAnsi="Times New Roman"/>
          <w:sz w:val="24"/>
          <w:szCs w:val="24"/>
        </w:rPr>
        <w:t>explained in first five principal components</w:t>
      </w:r>
      <w:r w:rsidR="00FE76B1" w:rsidRPr="00FE76B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00FF6">
        <w:rPr>
          <w:rFonts w:ascii="Times New Roman" w:eastAsia="Times New Roman" w:hAnsi="Times New Roman" w:cs="Times New Roman"/>
          <w:sz w:val="24"/>
          <w:szCs w:val="24"/>
        </w:rPr>
        <w:t>There was s</w:t>
      </w:r>
      <w:r w:rsidR="00D863B1" w:rsidRPr="00FE76B1">
        <w:rPr>
          <w:rFonts w:ascii="Times New Roman" w:eastAsia="Times New Roman" w:hAnsi="Times New Roman" w:cs="Times New Roman"/>
          <w:sz w:val="24"/>
          <w:szCs w:val="24"/>
        </w:rPr>
        <w:t xml:space="preserve">trong correlation </w:t>
      </w:r>
      <w:r w:rsidR="00F00FF6">
        <w:rPr>
          <w:rFonts w:ascii="Times New Roman" w:eastAsia="Times New Roman" w:hAnsi="Times New Roman" w:cs="Times New Roman"/>
          <w:sz w:val="24"/>
          <w:szCs w:val="24"/>
        </w:rPr>
        <w:t xml:space="preserve">among various fruit morphological and biochemical traits like fruit and aril weight, size, TSS, phenolics and antioxidants. </w:t>
      </w:r>
      <w:r w:rsidR="00A53268" w:rsidRPr="00FE76B1">
        <w:rPr>
          <w:rFonts w:ascii="Times New Roman" w:hAnsi="Times New Roman" w:cs="Times New Roman"/>
          <w:sz w:val="24"/>
          <w:szCs w:val="24"/>
        </w:rPr>
        <w:t>Ascorbic acid contents had strong correlation with antioxidant activity (0.952%), super dismutase oxides (0.94%), catalase (0.921%) and titratable acidity (0.91%). Peroxides had strong correlation (0.88%) with catalase and 0.81%, each with super dismutase oxides and antioxidant activity.</w:t>
      </w:r>
      <w:r w:rsidR="00A53268" w:rsidRPr="00FE76B1">
        <w:rPr>
          <w:rFonts w:ascii="Times New Roman" w:hAnsi="Times New Roman" w:cs="Times New Roman"/>
          <w:sz w:val="24"/>
          <w:szCs w:val="24"/>
        </w:rPr>
        <w:t xml:space="preserve"> </w:t>
      </w:r>
      <w:r w:rsidR="006B229B" w:rsidRPr="00FE76B1">
        <w:rPr>
          <w:rFonts w:ascii="Times New Roman" w:hAnsi="Times New Roman"/>
          <w:bCs/>
          <w:sz w:val="24"/>
          <w:szCs w:val="24"/>
        </w:rPr>
        <w:t xml:space="preserve">Allelic </w:t>
      </w:r>
      <w:r w:rsidR="00A53268" w:rsidRPr="00FE76B1">
        <w:rPr>
          <w:rFonts w:ascii="Times New Roman" w:hAnsi="Times New Roman"/>
          <w:bCs/>
          <w:sz w:val="24"/>
          <w:szCs w:val="24"/>
        </w:rPr>
        <w:t xml:space="preserve">frequency of 0.4088 to 0.8579 was </w:t>
      </w:r>
      <w:r w:rsidR="006B229B">
        <w:rPr>
          <w:rFonts w:ascii="Times New Roman" w:hAnsi="Times New Roman"/>
          <w:bCs/>
          <w:sz w:val="24"/>
          <w:szCs w:val="24"/>
        </w:rPr>
        <w:t>recorde</w:t>
      </w:r>
      <w:r w:rsidR="00A53268" w:rsidRPr="00FE76B1">
        <w:rPr>
          <w:rFonts w:ascii="Times New Roman" w:hAnsi="Times New Roman"/>
          <w:bCs/>
          <w:sz w:val="24"/>
          <w:szCs w:val="24"/>
        </w:rPr>
        <w:t xml:space="preserve">d in </w:t>
      </w:r>
      <w:r w:rsidR="006B229B">
        <w:rPr>
          <w:rFonts w:ascii="Times New Roman" w:hAnsi="Times New Roman"/>
          <w:bCs/>
          <w:sz w:val="24"/>
          <w:szCs w:val="24"/>
        </w:rPr>
        <w:t xml:space="preserve">studied </w:t>
      </w:r>
      <w:r w:rsidR="00A53268" w:rsidRPr="00FE76B1">
        <w:rPr>
          <w:rFonts w:ascii="Times New Roman" w:hAnsi="Times New Roman"/>
          <w:bCs/>
          <w:sz w:val="24"/>
          <w:szCs w:val="24"/>
        </w:rPr>
        <w:t xml:space="preserve">genotypes using </w:t>
      </w:r>
      <w:r w:rsidR="006B229B">
        <w:rPr>
          <w:rFonts w:ascii="Times New Roman" w:hAnsi="Times New Roman"/>
          <w:bCs/>
          <w:sz w:val="24"/>
          <w:szCs w:val="24"/>
        </w:rPr>
        <w:t xml:space="preserve">SSR </w:t>
      </w:r>
      <w:r w:rsidR="00A53268" w:rsidRPr="00FE76B1">
        <w:rPr>
          <w:rFonts w:ascii="Times New Roman" w:hAnsi="Times New Roman"/>
          <w:bCs/>
          <w:sz w:val="24"/>
          <w:szCs w:val="24"/>
        </w:rPr>
        <w:t xml:space="preserve">primers </w:t>
      </w:r>
      <w:r w:rsidR="006B229B">
        <w:rPr>
          <w:rFonts w:ascii="Times New Roman" w:hAnsi="Times New Roman"/>
          <w:bCs/>
          <w:sz w:val="24"/>
          <w:szCs w:val="24"/>
        </w:rPr>
        <w:t>(</w:t>
      </w:r>
      <w:r w:rsidR="00A53268" w:rsidRPr="00FE76B1">
        <w:rPr>
          <w:rFonts w:ascii="Times New Roman" w:hAnsi="Times New Roman"/>
          <w:bCs/>
          <w:sz w:val="24"/>
          <w:szCs w:val="24"/>
        </w:rPr>
        <w:t>PGCT091b and ABRII-MP30</w:t>
      </w:r>
      <w:r w:rsidR="006B229B">
        <w:rPr>
          <w:rFonts w:ascii="Times New Roman" w:hAnsi="Times New Roman"/>
          <w:bCs/>
          <w:sz w:val="24"/>
          <w:szCs w:val="24"/>
        </w:rPr>
        <w:t>)</w:t>
      </w:r>
      <w:r w:rsidR="00A53268" w:rsidRPr="00FE76B1">
        <w:rPr>
          <w:rFonts w:ascii="Times New Roman" w:hAnsi="Times New Roman"/>
          <w:bCs/>
          <w:sz w:val="24"/>
          <w:szCs w:val="24"/>
        </w:rPr>
        <w:t>. However, the range of genetic diversity in the selected pomegranate germplasm was 0.2489 to 0.6328, which was detected using selected primers.</w:t>
      </w:r>
      <w:r w:rsidR="00FE76B1" w:rsidRPr="00FE76B1">
        <w:rPr>
          <w:rFonts w:ascii="Times New Roman" w:hAnsi="Times New Roman"/>
          <w:bCs/>
          <w:sz w:val="24"/>
          <w:szCs w:val="24"/>
        </w:rPr>
        <w:t xml:space="preserve"> </w:t>
      </w:r>
      <w:r w:rsidR="00FE76B1" w:rsidRPr="00FE76B1">
        <w:rPr>
          <w:rFonts w:ascii="Times New Roman" w:hAnsi="Times New Roman"/>
          <w:sz w:val="24"/>
          <w:szCs w:val="24"/>
        </w:rPr>
        <w:t>Broad genetic base of pomegranate germplasm of Pakistan could be used in variety improvement programs.</w:t>
      </w:r>
    </w:p>
    <w:p w:rsidR="000273BD" w:rsidRDefault="000273BD" w:rsidP="004C5B45">
      <w:pPr>
        <w:jc w:val="both"/>
        <w:rPr>
          <w:iCs/>
        </w:rPr>
      </w:pPr>
    </w:p>
    <w:p w:rsidR="000273BD" w:rsidRPr="000273BD" w:rsidRDefault="000273BD" w:rsidP="004C5B45">
      <w:pPr>
        <w:jc w:val="both"/>
        <w:rPr>
          <w:b/>
          <w:bCs/>
          <w:iCs/>
        </w:rPr>
      </w:pPr>
      <w:r w:rsidRPr="000273BD">
        <w:rPr>
          <w:b/>
          <w:bCs/>
          <w:iCs/>
        </w:rPr>
        <w:t>Publications:</w:t>
      </w:r>
    </w:p>
    <w:p w:rsidR="008757FF" w:rsidRDefault="000273BD" w:rsidP="004C5B45">
      <w:pPr>
        <w:jc w:val="both"/>
        <w:rPr>
          <w:iCs/>
        </w:rPr>
      </w:pPr>
      <w:r>
        <w:rPr>
          <w:iCs/>
        </w:rPr>
        <w:t xml:space="preserve">1. </w:t>
      </w:r>
      <w:r w:rsidRPr="000273BD">
        <w:rPr>
          <w:iCs/>
        </w:rPr>
        <w:t>Muhammad Nafees,</w:t>
      </w:r>
      <w:r w:rsidRPr="00A27310">
        <w:rPr>
          <w:iCs/>
        </w:rPr>
        <w:t xml:space="preserve"> Muhammad Jafar Jaskani, Saeed Ahmed and Faisal Saeed Awan. 2015. Morpho-Molecular Characterization and Phylogenetic Relationship in Pomegranate Germplasm of Pakistan. Pak. J. Agri. Sci. 52(1): 97-106.</w:t>
      </w:r>
    </w:p>
    <w:p w:rsidR="000273BD" w:rsidRDefault="000273BD" w:rsidP="004C5B45">
      <w:pPr>
        <w:jc w:val="both"/>
        <w:rPr>
          <w:color w:val="000000"/>
        </w:rPr>
      </w:pPr>
      <w:r>
        <w:rPr>
          <w:b/>
          <w:bCs/>
          <w:sz w:val="24"/>
          <w:szCs w:val="24"/>
        </w:rPr>
        <w:t xml:space="preserve">2. </w:t>
      </w:r>
      <w:r w:rsidRPr="00EE4A03">
        <w:rPr>
          <w:color w:val="000000"/>
        </w:rPr>
        <w:t>Ishtiaq Ahmad</w:t>
      </w:r>
      <w:r>
        <w:rPr>
          <w:color w:val="000000"/>
        </w:rPr>
        <w:t xml:space="preserve">, </w:t>
      </w:r>
      <w:r w:rsidRPr="00EE4A03">
        <w:rPr>
          <w:color w:val="000000"/>
        </w:rPr>
        <w:t>Muhammad Jafar Jaskani</w:t>
      </w:r>
      <w:r>
        <w:rPr>
          <w:color w:val="000000"/>
        </w:rPr>
        <w:t xml:space="preserve">, </w:t>
      </w:r>
      <w:r w:rsidRPr="00EE4A03">
        <w:rPr>
          <w:b/>
          <w:bCs/>
          <w:color w:val="000000"/>
        </w:rPr>
        <w:t>Muhammad Nafees</w:t>
      </w:r>
      <w:r>
        <w:rPr>
          <w:color w:val="000000"/>
        </w:rPr>
        <w:t xml:space="preserve">, </w:t>
      </w:r>
      <w:r w:rsidRPr="00EE4A03">
        <w:rPr>
          <w:color w:val="000000"/>
        </w:rPr>
        <w:t>Irfan Ashraf</w:t>
      </w:r>
      <w:r>
        <w:rPr>
          <w:color w:val="000000"/>
        </w:rPr>
        <w:t xml:space="preserve"> a</w:t>
      </w:r>
      <w:r w:rsidRPr="00EE4A03">
        <w:rPr>
          <w:color w:val="000000"/>
        </w:rPr>
        <w:t>nd Rahmatullah Qureshi</w:t>
      </w:r>
      <w:r>
        <w:rPr>
          <w:color w:val="000000"/>
        </w:rPr>
        <w:t xml:space="preserve">. 2016. </w:t>
      </w:r>
      <w:r w:rsidRPr="00EE4A03">
        <w:rPr>
          <w:color w:val="000000"/>
        </w:rPr>
        <w:t>Control of media browning in micropropagation of guava (</w:t>
      </w:r>
      <w:r w:rsidRPr="00EE4A03">
        <w:rPr>
          <w:i/>
          <w:iCs/>
          <w:color w:val="000000"/>
        </w:rPr>
        <w:t>Psidium guajava</w:t>
      </w:r>
      <w:r>
        <w:rPr>
          <w:color w:val="000000"/>
        </w:rPr>
        <w:t xml:space="preserve"> L</w:t>
      </w:r>
      <w:r w:rsidRPr="00EE4A03">
        <w:rPr>
          <w:color w:val="000000"/>
        </w:rPr>
        <w:t>.)</w:t>
      </w:r>
      <w:r>
        <w:rPr>
          <w:color w:val="000000"/>
        </w:rPr>
        <w:t xml:space="preserve">. </w:t>
      </w:r>
      <w:r w:rsidRPr="00EE4A03">
        <w:rPr>
          <w:color w:val="000000"/>
        </w:rPr>
        <w:t>Pak. J. Bot., 48(2): 713-</w:t>
      </w:r>
      <w:r>
        <w:rPr>
          <w:color w:val="000000"/>
        </w:rPr>
        <w:t>716.</w:t>
      </w:r>
    </w:p>
    <w:p w:rsidR="000273BD" w:rsidRDefault="000273BD" w:rsidP="004C5B45">
      <w:pPr>
        <w:jc w:val="both"/>
        <w:rPr>
          <w:i/>
          <w:iCs/>
          <w:color w:val="000000"/>
        </w:rPr>
      </w:pPr>
      <w:r>
        <w:rPr>
          <w:color w:val="000000"/>
        </w:rPr>
        <w:t xml:space="preserve">3. </w:t>
      </w:r>
      <w:r w:rsidRPr="004A557F">
        <w:rPr>
          <w:color w:val="000000"/>
        </w:rPr>
        <w:t xml:space="preserve">Irfan Ashraf, Ishtiaq Ahmad, </w:t>
      </w:r>
      <w:r w:rsidRPr="004332BB">
        <w:rPr>
          <w:b/>
          <w:bCs/>
          <w:color w:val="000000"/>
        </w:rPr>
        <w:t>Muhammad Nafees</w:t>
      </w:r>
      <w:r w:rsidRPr="004A557F">
        <w:rPr>
          <w:color w:val="000000"/>
        </w:rPr>
        <w:t>, Malik Muhammad Yousaf and Bashir Ahmad</w:t>
      </w:r>
      <w:r>
        <w:rPr>
          <w:color w:val="000000"/>
        </w:rPr>
        <w:t xml:space="preserve">. 2016. </w:t>
      </w:r>
      <w:r w:rsidRPr="004A557F">
        <w:rPr>
          <w:color w:val="000000"/>
        </w:rPr>
        <w:t xml:space="preserve"> A review on organic farming for sustainable agricultural production.</w:t>
      </w:r>
      <w:r>
        <w:rPr>
          <w:color w:val="000000"/>
        </w:rPr>
        <w:t xml:space="preserve"> </w:t>
      </w:r>
      <w:r w:rsidRPr="004A557F">
        <w:rPr>
          <w:i/>
          <w:iCs/>
          <w:color w:val="000000"/>
        </w:rPr>
        <w:t>Pure Appl Biol.</w:t>
      </w:r>
    </w:p>
    <w:p w:rsidR="000273BD" w:rsidRDefault="000273BD" w:rsidP="004C5B45">
      <w:pPr>
        <w:jc w:val="both"/>
      </w:pPr>
      <w:r>
        <w:rPr>
          <w:color w:val="000000"/>
        </w:rPr>
        <w:t xml:space="preserve">4. </w:t>
      </w:r>
      <w:r w:rsidRPr="000B1A9F">
        <w:t xml:space="preserve">Maryam,  M. Jafar Jaskani, Bilques Fatima, M. Salman Haider, Summar Abbas Naqvi, </w:t>
      </w:r>
      <w:r w:rsidRPr="000B1A9F">
        <w:rPr>
          <w:b/>
          <w:bCs/>
        </w:rPr>
        <w:t>M. Nafees</w:t>
      </w:r>
      <w:r w:rsidRPr="000B1A9F">
        <w:t>, Rashid Ahmad and Iqrar Ahmad Khan. 2015. Evaluation of pollen viability in date palm cultivars</w:t>
      </w:r>
      <w:r>
        <w:t xml:space="preserve"> </w:t>
      </w:r>
      <w:r w:rsidRPr="000B1A9F">
        <w:t>under different storage temperatures</w:t>
      </w:r>
      <w:r>
        <w:t xml:space="preserve">. </w:t>
      </w:r>
      <w:r w:rsidRPr="000B1A9F">
        <w:rPr>
          <w:i/>
          <w:iCs/>
        </w:rPr>
        <w:t>Pak. J. Bot</w:t>
      </w:r>
      <w:r w:rsidRPr="000B1A9F">
        <w:t>. 47(1): 377-381</w:t>
      </w:r>
      <w:r>
        <w:t>.</w:t>
      </w:r>
    </w:p>
    <w:p w:rsidR="000273BD" w:rsidRDefault="000273BD" w:rsidP="004C5B45">
      <w:pPr>
        <w:jc w:val="both"/>
        <w:rPr>
          <w:iCs/>
        </w:rPr>
      </w:pPr>
      <w:r>
        <w:lastRenderedPageBreak/>
        <w:t xml:space="preserve">5. </w:t>
      </w:r>
      <w:r w:rsidRPr="00C91436">
        <w:rPr>
          <w:iCs/>
        </w:rPr>
        <w:t xml:space="preserve">Umbreen Maqsood, Abdul Rehman, Ishtiaq Ahmad, </w:t>
      </w:r>
      <w:r w:rsidRPr="003F0229">
        <w:rPr>
          <w:b/>
          <w:iCs/>
        </w:rPr>
        <w:t>Muhammad Nafees</w:t>
      </w:r>
      <w:r w:rsidRPr="00C91436">
        <w:rPr>
          <w:iCs/>
        </w:rPr>
        <w:t xml:space="preserve">, Irfan Ashraf, Rahmatullah Qureshi, Moazzam Jamil, Muhammad </w:t>
      </w:r>
      <w:proofErr w:type="spellStart"/>
      <w:r w:rsidRPr="00C91436">
        <w:rPr>
          <w:iCs/>
        </w:rPr>
        <w:t>Rafay</w:t>
      </w:r>
      <w:proofErr w:type="spellEnd"/>
      <w:r w:rsidRPr="00C91436">
        <w:rPr>
          <w:iCs/>
        </w:rPr>
        <w:t xml:space="preserve"> and Tanveer Hussain. Physiological attributes of fungi associated with stem end rot of mango (</w:t>
      </w:r>
      <w:r w:rsidRPr="001D1F09">
        <w:rPr>
          <w:i/>
        </w:rPr>
        <w:t>Mangifera indica</w:t>
      </w:r>
      <w:r w:rsidRPr="00C91436">
        <w:rPr>
          <w:iCs/>
        </w:rPr>
        <w:t xml:space="preserve"> l.) cultivars in postharvest fruit losses. 2014. Pak. J. Bot., 46(5): 1915-1920</w:t>
      </w:r>
      <w:r>
        <w:rPr>
          <w:iCs/>
        </w:rPr>
        <w:t>.</w:t>
      </w:r>
    </w:p>
    <w:p w:rsidR="000273BD" w:rsidRDefault="000273BD" w:rsidP="004C5B45">
      <w:pPr>
        <w:jc w:val="both"/>
        <w:rPr>
          <w:iCs/>
        </w:rPr>
      </w:pPr>
    </w:p>
    <w:p w:rsidR="000273BD" w:rsidRPr="000273BD" w:rsidRDefault="000273BD" w:rsidP="004C5B45">
      <w:pPr>
        <w:jc w:val="both"/>
        <w:rPr>
          <w:b/>
          <w:bCs/>
          <w:sz w:val="24"/>
          <w:szCs w:val="24"/>
        </w:rPr>
      </w:pPr>
      <w:bookmarkStart w:id="0" w:name="_GoBack"/>
      <w:bookmarkEnd w:id="0"/>
    </w:p>
    <w:sectPr w:rsidR="000273BD" w:rsidRPr="000273BD" w:rsidSect="00D863B1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3B1"/>
    <w:rsid w:val="00005235"/>
    <w:rsid w:val="000273BD"/>
    <w:rsid w:val="001D128B"/>
    <w:rsid w:val="002A30AC"/>
    <w:rsid w:val="002E34AC"/>
    <w:rsid w:val="004C5B45"/>
    <w:rsid w:val="004E7D1B"/>
    <w:rsid w:val="00504593"/>
    <w:rsid w:val="00550DC5"/>
    <w:rsid w:val="006B229B"/>
    <w:rsid w:val="00717799"/>
    <w:rsid w:val="00751255"/>
    <w:rsid w:val="008757FF"/>
    <w:rsid w:val="00A53268"/>
    <w:rsid w:val="00BD3610"/>
    <w:rsid w:val="00D863B1"/>
    <w:rsid w:val="00E56F1F"/>
    <w:rsid w:val="00F00FF6"/>
    <w:rsid w:val="00FB5EF7"/>
    <w:rsid w:val="00FE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44BC83-44FE-4D17-9E2C-BB38887F6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76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IUB</dc:creator>
  <cp:keywords/>
  <dc:description/>
  <cp:lastModifiedBy>IUB</cp:lastModifiedBy>
  <cp:revision>3</cp:revision>
  <dcterms:created xsi:type="dcterms:W3CDTF">2016-11-22T08:41:00Z</dcterms:created>
  <dcterms:modified xsi:type="dcterms:W3CDTF">2016-11-22T10:00:00Z</dcterms:modified>
</cp:coreProperties>
</file>