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hart10.xml" ContentType="application/vnd.openxmlformats-officedocument.drawingml.chart+xml"/>
  <Override PartName="/word/charts/colors10.xml" ContentType="application/vnd.ms-office.chartcolorstyle+xml"/>
  <Override PartName="/word/charts/style10.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A754E7" w:rsidRDefault="00A754E7" w:rsidP="00A754E7">
      <w:pPr>
        <w:pStyle w:val="Default"/>
        <w:spacing w:line="360" w:lineRule="auto"/>
        <w:jc w:val="center"/>
        <w:rPr>
          <w:rFonts w:ascii="Minion Pro" w:hAnsi="Minion Pro" w:cstheme="majorBidi"/>
          <w:b/>
          <w:bCs/>
          <w:color w:val="548DD4" w:themeColor="text2" w:themeTint="99"/>
          <w:sz w:val="36"/>
          <w:szCs w:val="36"/>
        </w:rPr>
      </w:pPr>
      <w:r w:rsidRPr="00A754E7">
        <w:rPr>
          <w:rFonts w:ascii="Minion Pro" w:hAnsi="Minion Pro" w:cstheme="majorBidi"/>
          <w:b/>
          <w:bCs/>
          <w:color w:val="548DD4" w:themeColor="text2" w:themeTint="99"/>
          <w:sz w:val="36"/>
          <w:szCs w:val="36"/>
        </w:rPr>
        <w:t>Interactive Effects of Residue and Tillage Methods on Growth Analysis, Yield and Yield Components of Melon</w:t>
      </w:r>
    </w:p>
    <w:p w:rsidR="00A754E7" w:rsidRDefault="00A754E7" w:rsidP="005973B9">
      <w:pPr>
        <w:pStyle w:val="BodyText"/>
        <w:spacing w:before="73" w:line="198" w:lineRule="exact"/>
        <w:ind w:left="100" w:right="5987"/>
        <w:rPr>
          <w:rFonts w:ascii="Arial"/>
        </w:rPr>
      </w:pPr>
      <w:r>
        <w:rPr>
          <w:rFonts w:ascii="Arial"/>
        </w:rPr>
        <w:t xml:space="preserve">Ahmad </w:t>
      </w:r>
      <w:proofErr w:type="spellStart"/>
      <w:r w:rsidR="0032489E">
        <w:rPr>
          <w:rFonts w:ascii="Arial"/>
        </w:rPr>
        <w:t>Zarea</w:t>
      </w:r>
      <w:proofErr w:type="spellEnd"/>
      <w:r w:rsidR="0032489E">
        <w:rPr>
          <w:rFonts w:ascii="Arial"/>
        </w:rPr>
        <w:t xml:space="preserve"> </w:t>
      </w:r>
      <w:proofErr w:type="spellStart"/>
      <w:r w:rsidR="0032489E">
        <w:rPr>
          <w:rFonts w:ascii="Arial"/>
        </w:rPr>
        <w:t>Feyza</w:t>
      </w:r>
      <w:r>
        <w:rPr>
          <w:rFonts w:ascii="Arial"/>
        </w:rPr>
        <w:t>badi</w:t>
      </w:r>
      <w:proofErr w:type="spellEnd"/>
      <w:r>
        <w:rPr>
          <w:rFonts w:ascii="Arial"/>
        </w:rPr>
        <w:t>, Crop Ecology PhD, Iranian Agricultural and Natural Resources Research Organization, Iran</w:t>
      </w:r>
    </w:p>
    <w:p w:rsidR="005973B9" w:rsidRDefault="00A754E7" w:rsidP="00A754E7">
      <w:pPr>
        <w:pStyle w:val="BodyText"/>
        <w:spacing w:before="73" w:line="198" w:lineRule="exact"/>
        <w:ind w:left="100" w:right="5987"/>
        <w:rPr>
          <w:rFonts w:ascii="Arial"/>
        </w:rPr>
      </w:pPr>
      <w:proofErr w:type="spellStart"/>
      <w:r>
        <w:rPr>
          <w:rFonts w:ascii="Arial"/>
        </w:rPr>
        <w:t>Neamatollahi</w:t>
      </w:r>
      <w:proofErr w:type="spellEnd"/>
      <w:r>
        <w:rPr>
          <w:rFonts w:ascii="Arial"/>
        </w:rPr>
        <w:t xml:space="preserve"> E and </w:t>
      </w:r>
      <w:proofErr w:type="spellStart"/>
      <w:r>
        <w:rPr>
          <w:rFonts w:ascii="Arial"/>
        </w:rPr>
        <w:t>Sobhany</w:t>
      </w:r>
      <w:proofErr w:type="spellEnd"/>
      <w:r>
        <w:rPr>
          <w:rFonts w:ascii="Arial"/>
        </w:rPr>
        <w:t xml:space="preserve"> A. Crop Ecology PhD, </w:t>
      </w:r>
      <w:proofErr w:type="spellStart"/>
      <w:r>
        <w:rPr>
          <w:rFonts w:ascii="Arial"/>
        </w:rPr>
        <w:t>Khorasan</w:t>
      </w:r>
      <w:proofErr w:type="spellEnd"/>
      <w:r>
        <w:rPr>
          <w:rFonts w:ascii="Arial"/>
        </w:rPr>
        <w:t xml:space="preserve"> </w:t>
      </w:r>
      <w:proofErr w:type="spellStart"/>
      <w:r>
        <w:rPr>
          <w:rFonts w:ascii="Arial"/>
        </w:rPr>
        <w:t>Razavi</w:t>
      </w:r>
      <w:proofErr w:type="spellEnd"/>
      <w:r>
        <w:rPr>
          <w:rFonts w:ascii="Arial"/>
        </w:rPr>
        <w:t xml:space="preserve"> Agricultural and Natural Resources Research Center</w:t>
      </w:r>
      <w:r w:rsidR="005973B9">
        <w:rPr>
          <w:rFonts w:ascii="Arial"/>
        </w:rPr>
        <w:t>,</w:t>
      </w:r>
      <w:r>
        <w:rPr>
          <w:rFonts w:ascii="Arial"/>
        </w:rPr>
        <w:t xml:space="preserve"> Iran</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32489E" w:rsidRPr="00A97060" w:rsidRDefault="0032489E" w:rsidP="0032489E">
      <w:pPr>
        <w:spacing w:line="360" w:lineRule="auto"/>
        <w:jc w:val="both"/>
        <w:rPr>
          <w:rFonts w:ascii="Times New Roman" w:hAnsi="Times New Roman" w:cs="Times New Roman"/>
          <w:color w:val="000000"/>
          <w:sz w:val="18"/>
          <w:szCs w:val="18"/>
        </w:rPr>
      </w:pPr>
      <w:r w:rsidRPr="00A97060">
        <w:rPr>
          <w:rFonts w:ascii="Times New Roman" w:hAnsi="Times New Roman" w:cs="Times New Roman"/>
          <w:color w:val="000000"/>
          <w:sz w:val="18"/>
          <w:szCs w:val="18"/>
        </w:rPr>
        <w:t xml:space="preserve">Field experiments were carried out to study the interactive effect of residue and tillage methods on growth analysis, yield and yield components of melon during 2014 and 2015 growing seasons. Tillage treatments in the study included were conventional tillage (CT; moldboard plowing + two passes of disk harrowing), minimum tillage (MT; one pass of disk harrowing) and no-tillage (NT). Residue treatments were included 0%, 30% and 60%. Yield, yield components included fruit weight per plant (FWPP), the </w:t>
      </w:r>
      <w:r w:rsidRPr="00A97060">
        <w:rPr>
          <w:rFonts w:ascii="Times New Roman" w:hAnsi="Times New Roman" w:cs="Times New Roman"/>
          <w:noProof/>
          <w:color w:val="000000"/>
          <w:sz w:val="18"/>
          <w:szCs w:val="18"/>
        </w:rPr>
        <w:t>number</w:t>
      </w:r>
      <w:r w:rsidRPr="00A97060">
        <w:rPr>
          <w:rFonts w:ascii="Times New Roman" w:hAnsi="Times New Roman" w:cs="Times New Roman"/>
          <w:color w:val="000000"/>
          <w:sz w:val="18"/>
          <w:szCs w:val="18"/>
        </w:rPr>
        <w:t xml:space="preserve"> of fruit per plant (NFPP), diameter (D), length (L), sugar (S), radiation use efficiency (RUE) and water use efficiency (WUE) were determined for all treatments. Results indicated that tillage methods significantly (P≤0.05) influenced the yield and yield components. Analysis of variance results showed that yield, FWPP, NFPP, D, L, </w:t>
      </w:r>
      <w:r w:rsidRPr="00A97060">
        <w:rPr>
          <w:rFonts w:ascii="Times New Roman" w:hAnsi="Times New Roman" w:cs="Times New Roman"/>
          <w:noProof/>
          <w:color w:val="000000"/>
          <w:sz w:val="18"/>
          <w:szCs w:val="18"/>
        </w:rPr>
        <w:t>S,</w:t>
      </w:r>
      <w:r w:rsidRPr="00A97060">
        <w:rPr>
          <w:rFonts w:ascii="Times New Roman" w:hAnsi="Times New Roman" w:cs="Times New Roman"/>
          <w:color w:val="000000"/>
          <w:sz w:val="18"/>
          <w:szCs w:val="18"/>
        </w:rPr>
        <w:t xml:space="preserve"> and RUE were significantly under the different tillage methods, moreover yield, FWPP, NFPP, D, L and S were significantly under the different residue percentage and interactive effect of tillage and residue. The maximum FWPP (2.678kg), NFPP (6.799), D (18.49cm), L (45.93cm), S (12.51%) and RUE (2.470) as a result yield (16.17 t ha</w:t>
      </w:r>
      <w:r w:rsidRPr="00A97060">
        <w:rPr>
          <w:rFonts w:ascii="Times New Roman" w:hAnsi="Times New Roman" w:cs="Times New Roman"/>
          <w:color w:val="000000"/>
          <w:sz w:val="18"/>
          <w:szCs w:val="18"/>
          <w:vertAlign w:val="superscript"/>
        </w:rPr>
        <w:t>-1</w:t>
      </w:r>
      <w:r w:rsidRPr="00A97060">
        <w:rPr>
          <w:rFonts w:ascii="Times New Roman" w:hAnsi="Times New Roman" w:cs="Times New Roman"/>
          <w:color w:val="000000"/>
          <w:sz w:val="18"/>
          <w:szCs w:val="18"/>
        </w:rPr>
        <w:t>) were observed with the CT. Also, maximum FWPP (2.192), NFPP (5.353), D (16.66), L (39.52) and yield (12.83 t ha</w:t>
      </w:r>
      <w:r w:rsidRPr="00A97060">
        <w:rPr>
          <w:rFonts w:ascii="Times New Roman" w:hAnsi="Times New Roman" w:cs="Times New Roman"/>
          <w:color w:val="000000"/>
          <w:sz w:val="18"/>
          <w:szCs w:val="18"/>
          <w:vertAlign w:val="superscript"/>
        </w:rPr>
        <w:t>-1</w:t>
      </w:r>
      <w:r w:rsidRPr="00A97060">
        <w:rPr>
          <w:rFonts w:ascii="Times New Roman" w:hAnsi="Times New Roman" w:cs="Times New Roman"/>
          <w:color w:val="000000"/>
          <w:sz w:val="18"/>
          <w:szCs w:val="18"/>
        </w:rPr>
        <w:t>) were obtained from 30% residue. On the other hand, maximum FWPP (2.850), NFPP (6.790), D (20.71), L (53.53) and yield (17.09 t ha</w:t>
      </w:r>
      <w:r w:rsidRPr="00A97060">
        <w:rPr>
          <w:rFonts w:ascii="Times New Roman" w:hAnsi="Times New Roman" w:cs="Times New Roman"/>
          <w:color w:val="000000"/>
          <w:sz w:val="18"/>
          <w:szCs w:val="18"/>
          <w:vertAlign w:val="superscript"/>
        </w:rPr>
        <w:t>-1</w:t>
      </w:r>
      <w:r w:rsidRPr="00A97060">
        <w:rPr>
          <w:rFonts w:ascii="Times New Roman" w:hAnsi="Times New Roman" w:cs="Times New Roman"/>
          <w:color w:val="000000"/>
          <w:sz w:val="18"/>
          <w:szCs w:val="18"/>
        </w:rPr>
        <w:t xml:space="preserve">) from CT30% were obtained. Therefore, moldboard plowing followed by two passes of disk harrow with 30% residue were found to be more appropriate and profitable tillage </w:t>
      </w:r>
      <w:bookmarkStart w:id="0" w:name="_GoBack"/>
      <w:bookmarkEnd w:id="0"/>
      <w:r w:rsidRPr="00A97060">
        <w:rPr>
          <w:rFonts w:ascii="Times New Roman" w:hAnsi="Times New Roman" w:cs="Times New Roman"/>
          <w:color w:val="000000"/>
          <w:sz w:val="18"/>
          <w:szCs w:val="18"/>
        </w:rPr>
        <w:t xml:space="preserve">method and residue percentage in improving the </w:t>
      </w:r>
      <w:r w:rsidRPr="00A97060">
        <w:rPr>
          <w:rFonts w:ascii="Times New Roman" w:hAnsi="Times New Roman" w:cs="Times New Roman"/>
          <w:noProof/>
          <w:color w:val="000000"/>
          <w:sz w:val="18"/>
          <w:szCs w:val="18"/>
        </w:rPr>
        <w:t>yield</w:t>
      </w:r>
      <w:r w:rsidRPr="00A97060">
        <w:rPr>
          <w:rFonts w:ascii="Times New Roman" w:hAnsi="Times New Roman" w:cs="Times New Roman"/>
          <w:color w:val="000000"/>
          <w:sz w:val="18"/>
          <w:szCs w:val="18"/>
        </w:rPr>
        <w:t xml:space="preserve"> of melon in the </w:t>
      </w:r>
      <w:r w:rsidRPr="00A97060">
        <w:rPr>
          <w:rFonts w:ascii="Times New Roman" w:hAnsi="Times New Roman" w:cs="Times New Roman"/>
          <w:noProof/>
          <w:color w:val="000000"/>
          <w:sz w:val="18"/>
          <w:szCs w:val="18"/>
        </w:rPr>
        <w:t>temperate</w:t>
      </w:r>
      <w:r w:rsidRPr="00A97060">
        <w:rPr>
          <w:rFonts w:ascii="Times New Roman" w:hAnsi="Times New Roman" w:cs="Times New Roman"/>
          <w:color w:val="000000"/>
          <w:sz w:val="18"/>
          <w:szCs w:val="18"/>
        </w:rPr>
        <w:t xml:space="preserve"> cold climatic zone. Almost all of growth indicators were optimum for conservation tillage </w:t>
      </w:r>
      <w:r w:rsidRPr="00A97060">
        <w:rPr>
          <w:rFonts w:ascii="Times New Roman" w:hAnsi="Times New Roman" w:cs="Times New Roman"/>
          <w:noProof/>
          <w:color w:val="000000"/>
          <w:sz w:val="18"/>
          <w:szCs w:val="18"/>
        </w:rPr>
        <w:t>treatments,</w:t>
      </w:r>
      <w:r w:rsidRPr="00A97060">
        <w:rPr>
          <w:rFonts w:ascii="Times New Roman" w:hAnsi="Times New Roman" w:cs="Times New Roman"/>
          <w:color w:val="000000"/>
          <w:sz w:val="18"/>
          <w:szCs w:val="18"/>
        </w:rPr>
        <w:t xml:space="preserve"> especially </w:t>
      </w:r>
      <w:r w:rsidRPr="00A97060">
        <w:rPr>
          <w:rFonts w:ascii="Times New Roman" w:hAnsi="Times New Roman" w:cs="Times New Roman"/>
          <w:sz w:val="18"/>
          <w:szCs w:val="18"/>
        </w:rPr>
        <w:t>with</w:t>
      </w:r>
      <w:r w:rsidRPr="00A97060">
        <w:rPr>
          <w:rFonts w:ascii="Times New Roman" w:hAnsi="Times New Roman" w:cs="Times New Roman"/>
          <w:color w:val="FF0000"/>
          <w:sz w:val="18"/>
          <w:szCs w:val="18"/>
        </w:rPr>
        <w:t xml:space="preserve"> </w:t>
      </w:r>
      <w:r w:rsidRPr="00A97060">
        <w:rPr>
          <w:rFonts w:ascii="Times New Roman" w:hAnsi="Times New Roman" w:cs="Times New Roman"/>
          <w:sz w:val="18"/>
          <w:szCs w:val="18"/>
        </w:rPr>
        <w:t>30% residue</w:t>
      </w:r>
      <w:r w:rsidRPr="00A97060">
        <w:rPr>
          <w:rFonts w:ascii="Times New Roman" w:hAnsi="Times New Roman" w:cs="Times New Roman"/>
          <w:color w:val="000000"/>
          <w:sz w:val="18"/>
          <w:szCs w:val="18"/>
        </w:rPr>
        <w:t>.</w:t>
      </w:r>
    </w:p>
    <w:p w:rsidR="00AE3E37" w:rsidRDefault="00A9710C">
      <w:pPr>
        <w:pStyle w:val="Heading3"/>
        <w:spacing w:before="74"/>
      </w:pPr>
      <w:r>
        <w:rPr>
          <w:b w:val="0"/>
        </w:rPr>
        <w:br w:type="column"/>
      </w:r>
      <w:r>
        <w:rPr>
          <w:color w:val="BF5A14"/>
        </w:rPr>
        <w:lastRenderedPageBreak/>
        <w:t>Image</w:t>
      </w:r>
    </w:p>
    <w:p w:rsidR="00AE3E37" w:rsidRDefault="0032489E">
      <w:pPr>
        <w:pStyle w:val="BodyText"/>
        <w:spacing w:before="2"/>
        <w:rPr>
          <w:rFonts w:ascii="Arial"/>
          <w:b/>
          <w:sz w:val="16"/>
        </w:rPr>
      </w:pPr>
      <w:r>
        <w:rPr>
          <w:rFonts w:ascii="Arial"/>
          <w:b/>
          <w:noProof/>
          <w:sz w:val="16"/>
        </w:rPr>
        <mc:AlternateContent>
          <mc:Choice Requires="wps">
            <w:drawing>
              <wp:anchor distT="0" distB="0" distL="114300" distR="114300" simplePos="0" relativeHeight="251659264" behindDoc="0" locked="0" layoutInCell="1" allowOverlap="1">
                <wp:simplePos x="0" y="0"/>
                <wp:positionH relativeFrom="column">
                  <wp:posOffset>36830</wp:posOffset>
                </wp:positionH>
                <wp:positionV relativeFrom="paragraph">
                  <wp:posOffset>48895</wp:posOffset>
                </wp:positionV>
                <wp:extent cx="3257550" cy="146685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25755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2489E" w:rsidRDefault="0032489E">
                            <w:r>
                              <w:rPr>
                                <w:noProof/>
                              </w:rPr>
                              <w:drawing>
                                <wp:inline distT="0" distB="0" distL="0" distR="0" wp14:anchorId="19278111" wp14:editId="1B8F1802">
                                  <wp:extent cx="2954655" cy="1362075"/>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2.9pt;margin-top:3.85pt;width:256.5pt;height:11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" fillcolor="white [3201]" stroked="f" strokeweight=".5pt">
                <v:textbox>
                  <w:txbxContent>
                    <w:p w:rsidR="0032489E" w:rsidRDefault="0032489E">
                      <w:r>
                        <w:rPr>
                          <w:noProof/>
                        </w:rPr>
                        <w:drawing>
                          <wp:inline distT="0" distB="0" distL="0" distR="0" wp14:anchorId="19278111" wp14:editId="1B8F1802">
                            <wp:extent cx="2954655" cy="1362075"/>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xbxContent>
                </v:textbox>
              </v:shape>
            </w:pict>
          </mc:Fallback>
        </mc:AlternateContent>
      </w:r>
    </w:p>
    <w:p w:rsidR="0032489E" w:rsidRDefault="005973B9" w:rsidP="005973B9">
      <w:pPr>
        <w:spacing w:line="204" w:lineRule="exact"/>
        <w:rPr>
          <w:rFonts w:ascii="Arial"/>
          <w:b/>
          <w:color w:val="BF5A14"/>
          <w:sz w:val="20"/>
        </w:rPr>
      </w:pPr>
      <w:r>
        <w:rPr>
          <w:rFonts w:ascii="Arial"/>
          <w:b/>
          <w:color w:val="BF5A14"/>
          <w:sz w:val="20"/>
        </w:rPr>
        <w:br/>
      </w:r>
    </w:p>
    <w:p w:rsidR="0032489E" w:rsidRDefault="0032489E" w:rsidP="005973B9">
      <w:pPr>
        <w:spacing w:line="204" w:lineRule="exact"/>
        <w:rPr>
          <w:rFonts w:ascii="Arial"/>
          <w:b/>
          <w:color w:val="BF5A14"/>
          <w:sz w:val="20"/>
        </w:rPr>
      </w:pPr>
    </w:p>
    <w:p w:rsidR="0032489E" w:rsidRDefault="0032489E" w:rsidP="005973B9">
      <w:pPr>
        <w:spacing w:line="204" w:lineRule="exact"/>
        <w:rPr>
          <w:rFonts w:ascii="Arial"/>
          <w:b/>
          <w:color w:val="BF5A14"/>
          <w:sz w:val="20"/>
        </w:rPr>
      </w:pPr>
    </w:p>
    <w:p w:rsidR="0032489E" w:rsidRDefault="0032489E" w:rsidP="005973B9">
      <w:pPr>
        <w:spacing w:line="204" w:lineRule="exact"/>
        <w:rPr>
          <w:rFonts w:ascii="Arial"/>
          <w:b/>
          <w:color w:val="BF5A14"/>
          <w:sz w:val="20"/>
        </w:rPr>
      </w:pPr>
    </w:p>
    <w:p w:rsidR="0032489E" w:rsidRDefault="0032489E" w:rsidP="005973B9">
      <w:pPr>
        <w:spacing w:line="204" w:lineRule="exact"/>
        <w:rPr>
          <w:rFonts w:ascii="Arial"/>
          <w:b/>
          <w:color w:val="BF5A14"/>
          <w:sz w:val="20"/>
        </w:rPr>
      </w:pPr>
    </w:p>
    <w:p w:rsidR="0032489E" w:rsidRDefault="0032489E" w:rsidP="005973B9">
      <w:pPr>
        <w:spacing w:line="204" w:lineRule="exact"/>
        <w:rPr>
          <w:rFonts w:ascii="Arial"/>
          <w:b/>
          <w:color w:val="BF5A14"/>
          <w:sz w:val="20"/>
        </w:rPr>
      </w:pPr>
    </w:p>
    <w:p w:rsidR="0032489E" w:rsidRDefault="0032489E" w:rsidP="005973B9">
      <w:pPr>
        <w:spacing w:line="204" w:lineRule="exact"/>
        <w:rPr>
          <w:rFonts w:ascii="Arial"/>
          <w:b/>
          <w:color w:val="BF5A14"/>
          <w:sz w:val="20"/>
        </w:rPr>
      </w:pPr>
    </w:p>
    <w:p w:rsidR="0032489E" w:rsidRDefault="0032489E" w:rsidP="005973B9">
      <w:pPr>
        <w:spacing w:line="204" w:lineRule="exact"/>
        <w:rPr>
          <w:rFonts w:ascii="Arial"/>
          <w:b/>
          <w:color w:val="BF5A14"/>
          <w:sz w:val="20"/>
        </w:rPr>
      </w:pPr>
    </w:p>
    <w:p w:rsidR="0032489E" w:rsidRDefault="0032489E" w:rsidP="005973B9">
      <w:pPr>
        <w:spacing w:line="204" w:lineRule="exact"/>
        <w:rPr>
          <w:rFonts w:ascii="Arial"/>
          <w:b/>
          <w:color w:val="BF5A14"/>
          <w:sz w:val="20"/>
        </w:rPr>
      </w:pPr>
    </w:p>
    <w:p w:rsidR="0032489E" w:rsidRDefault="0032489E" w:rsidP="005973B9">
      <w:pPr>
        <w:spacing w:line="204" w:lineRule="exact"/>
        <w:rPr>
          <w:rFonts w:ascii="Arial"/>
          <w:b/>
          <w:color w:val="BF5A14"/>
          <w:sz w:val="20"/>
        </w:rPr>
      </w:pPr>
    </w:p>
    <w:p w:rsidR="0032489E" w:rsidRPr="0032489E" w:rsidRDefault="0032489E" w:rsidP="0032489E">
      <w:pPr>
        <w:spacing w:line="360" w:lineRule="auto"/>
        <w:jc w:val="both"/>
        <w:rPr>
          <w:rFonts w:asciiTheme="majorBidi" w:hAnsiTheme="majorBidi" w:cstheme="majorBidi"/>
          <w:b/>
          <w:bCs/>
          <w:sz w:val="16"/>
          <w:szCs w:val="16"/>
        </w:rPr>
      </w:pPr>
      <w:r w:rsidRPr="0032489E">
        <w:rPr>
          <w:rFonts w:ascii="Arial"/>
          <w:b/>
          <w:sz w:val="16"/>
          <w:szCs w:val="16"/>
        </w:rPr>
        <w:t xml:space="preserve">Number of Flower per Cluster (NFPC) </w:t>
      </w:r>
      <w:r w:rsidRPr="0032489E">
        <w:rPr>
          <w:rFonts w:asciiTheme="majorBidi" w:hAnsiTheme="majorBidi" w:cstheme="majorBidi"/>
          <w:b/>
          <w:bCs/>
          <w:sz w:val="16"/>
          <w:szCs w:val="16"/>
        </w:rPr>
        <w:t xml:space="preserve">a, b and c </w:t>
      </w:r>
      <w:r w:rsidRPr="0032489E">
        <w:rPr>
          <w:rFonts w:asciiTheme="majorBidi" w:hAnsiTheme="majorBidi" w:cstheme="majorBidi"/>
          <w:b/>
          <w:bCs/>
          <w:noProof/>
          <w:sz w:val="16"/>
          <w:szCs w:val="16"/>
        </w:rPr>
        <w:t>differ</w:t>
      </w:r>
      <w:r w:rsidRPr="0032489E">
        <w:rPr>
          <w:rFonts w:ascii="Times New Roman" w:hAnsi="Times New Roman" w:cs="Times New Roman"/>
          <w:b/>
          <w:bCs/>
          <w:noProof/>
          <w:sz w:val="16"/>
          <w:szCs w:val="16"/>
        </w:rPr>
        <w:t xml:space="preserve"> significantly</w:t>
      </w:r>
      <w:r w:rsidRPr="0032489E">
        <w:rPr>
          <w:rFonts w:ascii="Times New Roman" w:hAnsi="Times New Roman" w:cs="Times New Roman"/>
          <w:b/>
          <w:bCs/>
          <w:sz w:val="16"/>
          <w:szCs w:val="16"/>
        </w:rPr>
        <w:t xml:space="preserve"> at 0.05 probability level according to DMRT.</w:t>
      </w:r>
      <w:r w:rsidRPr="0032489E">
        <w:rPr>
          <w:rFonts w:asciiTheme="majorBidi" w:hAnsiTheme="majorBidi" w:cstheme="majorBidi"/>
          <w:b/>
          <w:bCs/>
          <w:sz w:val="16"/>
          <w:szCs w:val="16"/>
        </w:rPr>
        <w:t xml:space="preserve"> </w:t>
      </w:r>
    </w:p>
    <w:p w:rsidR="0032489E" w:rsidRDefault="0032489E"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32489E" w:rsidP="005973B9">
      <w:pPr>
        <w:pStyle w:val="ListParagraph"/>
        <w:numPr>
          <w:ilvl w:val="0"/>
          <w:numId w:val="3"/>
        </w:numPr>
        <w:tabs>
          <w:tab w:val="left" w:pos="384"/>
        </w:tabs>
        <w:spacing w:line="216" w:lineRule="exact"/>
        <w:ind w:right="137" w:hanging="283"/>
        <w:rPr>
          <w:sz w:val="18"/>
        </w:rPr>
      </w:pPr>
      <w:proofErr w:type="spellStart"/>
      <w:r>
        <w:rPr>
          <w:sz w:val="18"/>
        </w:rPr>
        <w:t>Neamatollahi</w:t>
      </w:r>
      <w:proofErr w:type="spellEnd"/>
      <w:r>
        <w:rPr>
          <w:sz w:val="18"/>
        </w:rPr>
        <w:t xml:space="preserve"> E, </w:t>
      </w:r>
      <w:proofErr w:type="spellStart"/>
      <w:r>
        <w:rPr>
          <w:sz w:val="18"/>
        </w:rPr>
        <w:t>Bannayan</w:t>
      </w:r>
      <w:proofErr w:type="spellEnd"/>
      <w:r>
        <w:rPr>
          <w:sz w:val="18"/>
        </w:rPr>
        <w:t xml:space="preserve"> M, </w:t>
      </w:r>
      <w:proofErr w:type="spellStart"/>
      <w:r>
        <w:rPr>
          <w:sz w:val="18"/>
        </w:rPr>
        <w:t>Sturik</w:t>
      </w:r>
      <w:proofErr w:type="spellEnd"/>
      <w:r>
        <w:rPr>
          <w:sz w:val="18"/>
        </w:rPr>
        <w:t xml:space="preserve"> P, </w:t>
      </w:r>
      <w:proofErr w:type="spellStart"/>
      <w:r>
        <w:rPr>
          <w:sz w:val="18"/>
        </w:rPr>
        <w:t>Jahansuz</w:t>
      </w:r>
      <w:proofErr w:type="spellEnd"/>
      <w:r>
        <w:rPr>
          <w:sz w:val="18"/>
        </w:rPr>
        <w:t xml:space="preserve"> M.R, </w:t>
      </w:r>
      <w:proofErr w:type="spellStart"/>
      <w:r>
        <w:rPr>
          <w:sz w:val="18"/>
        </w:rPr>
        <w:t>Farid</w:t>
      </w:r>
      <w:proofErr w:type="spellEnd"/>
      <w:r>
        <w:rPr>
          <w:sz w:val="18"/>
        </w:rPr>
        <w:t xml:space="preserve"> A (2012) Agro-ecological zoning for wheat and corn on the Mashhad plain, </w:t>
      </w:r>
      <w:proofErr w:type="spellStart"/>
      <w:r>
        <w:rPr>
          <w:sz w:val="18"/>
        </w:rPr>
        <w:t>Khorasan</w:t>
      </w:r>
      <w:proofErr w:type="spellEnd"/>
      <w:r>
        <w:rPr>
          <w:sz w:val="18"/>
        </w:rPr>
        <w:t xml:space="preserve"> </w:t>
      </w:r>
      <w:proofErr w:type="spellStart"/>
      <w:r>
        <w:rPr>
          <w:sz w:val="18"/>
        </w:rPr>
        <w:t>Razavi</w:t>
      </w:r>
      <w:proofErr w:type="spellEnd"/>
      <w:r>
        <w:rPr>
          <w:sz w:val="18"/>
        </w:rPr>
        <w:t xml:space="preserve"> province. </w:t>
      </w:r>
      <w:proofErr w:type="spellStart"/>
      <w:r>
        <w:rPr>
          <w:sz w:val="18"/>
        </w:rPr>
        <w:t>Egyption</w:t>
      </w:r>
      <w:proofErr w:type="spellEnd"/>
      <w:r>
        <w:rPr>
          <w:sz w:val="18"/>
        </w:rPr>
        <w:t xml:space="preserve"> Journal of Remote Sensing and Space Sci</w:t>
      </w:r>
      <w:r w:rsidR="00D12635">
        <w:rPr>
          <w:sz w:val="18"/>
        </w:rPr>
        <w:t>ences, Elsevier.</w:t>
      </w:r>
    </w:p>
    <w:p w:rsidR="0032489E" w:rsidRDefault="0032489E" w:rsidP="0032489E">
      <w:pPr>
        <w:pStyle w:val="ListParagraph"/>
        <w:numPr>
          <w:ilvl w:val="0"/>
          <w:numId w:val="3"/>
        </w:numPr>
        <w:tabs>
          <w:tab w:val="left" w:pos="384"/>
        </w:tabs>
        <w:spacing w:before="103" w:line="216" w:lineRule="exact"/>
        <w:ind w:right="138"/>
        <w:rPr>
          <w:sz w:val="18"/>
        </w:rPr>
      </w:pPr>
      <w:proofErr w:type="spellStart"/>
      <w:r>
        <w:rPr>
          <w:sz w:val="18"/>
        </w:rPr>
        <w:t>Neamatollahi</w:t>
      </w:r>
      <w:proofErr w:type="spellEnd"/>
      <w:r>
        <w:rPr>
          <w:sz w:val="18"/>
        </w:rPr>
        <w:t xml:space="preserve"> E, </w:t>
      </w:r>
      <w:proofErr w:type="spellStart"/>
      <w:r>
        <w:rPr>
          <w:sz w:val="18"/>
        </w:rPr>
        <w:t>Jahansuz</w:t>
      </w:r>
      <w:proofErr w:type="spellEnd"/>
      <w:r>
        <w:rPr>
          <w:sz w:val="18"/>
        </w:rPr>
        <w:t xml:space="preserve"> M.R (2011) Agro-climatic suitability areas for Sugar beet crop production in Mashhad plain, Iran. Precision Agriculture</w:t>
      </w:r>
      <w:r w:rsidR="00D12635">
        <w:rPr>
          <w:sz w:val="18"/>
        </w:rPr>
        <w:t>, Springer.</w:t>
      </w:r>
    </w:p>
    <w:p w:rsidR="005973B9" w:rsidRDefault="0032489E" w:rsidP="0032489E">
      <w:pPr>
        <w:pStyle w:val="ListParagraph"/>
        <w:numPr>
          <w:ilvl w:val="0"/>
          <w:numId w:val="3"/>
        </w:numPr>
        <w:tabs>
          <w:tab w:val="left" w:pos="384"/>
        </w:tabs>
        <w:spacing w:line="216" w:lineRule="exact"/>
        <w:ind w:right="138" w:hanging="283"/>
        <w:rPr>
          <w:sz w:val="18"/>
        </w:rPr>
      </w:pPr>
      <w:proofErr w:type="spellStart"/>
      <w:r>
        <w:rPr>
          <w:sz w:val="18"/>
        </w:rPr>
        <w:t>Neamatollahi</w:t>
      </w:r>
      <w:proofErr w:type="spellEnd"/>
      <w:r>
        <w:rPr>
          <w:sz w:val="18"/>
        </w:rPr>
        <w:t xml:space="preserve"> E, </w:t>
      </w:r>
      <w:proofErr w:type="spellStart"/>
      <w:r>
        <w:rPr>
          <w:sz w:val="18"/>
        </w:rPr>
        <w:t>Jahansuz</w:t>
      </w:r>
      <w:proofErr w:type="spellEnd"/>
      <w:r>
        <w:rPr>
          <w:sz w:val="18"/>
        </w:rPr>
        <w:t xml:space="preserve"> M.R, </w:t>
      </w:r>
      <w:proofErr w:type="spellStart"/>
      <w:r>
        <w:rPr>
          <w:sz w:val="18"/>
        </w:rPr>
        <w:t>Mazaheri</w:t>
      </w:r>
      <w:proofErr w:type="spellEnd"/>
      <w:r>
        <w:rPr>
          <w:sz w:val="18"/>
        </w:rPr>
        <w:t xml:space="preserve"> D, </w:t>
      </w:r>
      <w:proofErr w:type="spellStart"/>
      <w:r>
        <w:rPr>
          <w:sz w:val="18"/>
        </w:rPr>
        <w:t>Bannayan</w:t>
      </w:r>
      <w:proofErr w:type="spellEnd"/>
      <w:r>
        <w:rPr>
          <w:sz w:val="18"/>
        </w:rPr>
        <w:t xml:space="preserve"> M (2012) Intercropping. </w:t>
      </w:r>
      <w:r w:rsidR="00D12635">
        <w:rPr>
          <w:sz w:val="18"/>
        </w:rPr>
        <w:t>Sustainable Agriculture Reviews. Book Chapter, Springer ISI Book, Volume 12.</w:t>
      </w:r>
    </w:p>
    <w:p w:rsidR="005973B9" w:rsidRPr="00D12635" w:rsidRDefault="00D12635" w:rsidP="00D12635">
      <w:pPr>
        <w:pStyle w:val="ListParagraph"/>
        <w:numPr>
          <w:ilvl w:val="0"/>
          <w:numId w:val="3"/>
        </w:numPr>
        <w:tabs>
          <w:tab w:val="left" w:pos="384"/>
        </w:tabs>
        <w:spacing w:before="92" w:line="218" w:lineRule="exact"/>
        <w:ind w:hanging="283"/>
        <w:rPr>
          <w:sz w:val="18"/>
        </w:rPr>
      </w:pPr>
      <w:r>
        <w:rPr>
          <w:sz w:val="18"/>
        </w:rPr>
        <w:t xml:space="preserve">E. </w:t>
      </w:r>
      <w:proofErr w:type="spellStart"/>
      <w:r>
        <w:rPr>
          <w:sz w:val="18"/>
        </w:rPr>
        <w:t>Neamatollahi</w:t>
      </w:r>
      <w:proofErr w:type="spellEnd"/>
      <w:r>
        <w:rPr>
          <w:sz w:val="18"/>
        </w:rPr>
        <w:t xml:space="preserve"> et al (2013) Application of different amounts of ZnSO4 in five varieties of Sugar beet, Journal of Advances in Environmental Biology. ISI Journal.</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5</w:t>
      </w:r>
      <w:r w:rsidR="00D12635">
        <w:rPr>
          <w:rFonts w:ascii="Calibri" w:hAnsi="Calibri"/>
        </w:rPr>
        <w:t xml:space="preserve">.   E. </w:t>
      </w:r>
      <w:proofErr w:type="spellStart"/>
      <w:r w:rsidR="00D12635">
        <w:rPr>
          <w:rFonts w:ascii="Calibri" w:hAnsi="Calibri"/>
        </w:rPr>
        <w:t>Neamatollahi</w:t>
      </w:r>
      <w:proofErr w:type="spellEnd"/>
      <w:r w:rsidR="00D12635">
        <w:rPr>
          <w:rFonts w:ascii="Calibri" w:hAnsi="Calibri"/>
        </w:rPr>
        <w:t xml:space="preserve"> et al (2013) Determination the best varieties of forage Sorghum. Journal of Advances in Environmental Biology. ISI Journal.</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04152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3B7935">
      <w:pPr>
        <w:spacing w:before="41" w:line="154" w:lineRule="exact"/>
        <w:ind w:left="213" w:right="231"/>
        <w:jc w:val="both"/>
        <w:rPr>
          <w:rFonts w:ascii="Arial"/>
          <w:sz w:val="14"/>
        </w:rPr>
      </w:pPr>
      <w:r>
        <w:rPr>
          <w:rFonts w:ascii="Arial"/>
          <w:sz w:val="14"/>
        </w:rPr>
        <w:t xml:space="preserve">This is Ehsan </w:t>
      </w:r>
      <w:proofErr w:type="spellStart"/>
      <w:r>
        <w:rPr>
          <w:rFonts w:ascii="Arial"/>
          <w:sz w:val="14"/>
        </w:rPr>
        <w:t>Neamatollahi</w:t>
      </w:r>
      <w:proofErr w:type="spellEnd"/>
      <w:r>
        <w:rPr>
          <w:rFonts w:ascii="Arial"/>
          <w:sz w:val="14"/>
        </w:rPr>
        <w:t xml:space="preserve">, I was born in Mashhad, Iran. </w:t>
      </w:r>
      <w:r w:rsidR="001E1151">
        <w:rPr>
          <w:rFonts w:ascii="Arial"/>
          <w:sz w:val="14"/>
        </w:rPr>
        <w:t xml:space="preserve">I have PhD of Crop Ecology from University of Tehran. </w:t>
      </w:r>
    </w:p>
    <w:p w:rsidR="00AE3E37" w:rsidRDefault="00A9710C">
      <w:pPr>
        <w:spacing w:before="62"/>
        <w:ind w:left="4217" w:right="4235"/>
        <w:jc w:val="center"/>
        <w:rPr>
          <w:rFonts w:ascii="Arial"/>
          <w:sz w:val="14"/>
        </w:rPr>
      </w:pPr>
      <w:r>
        <w:rPr>
          <w:rFonts w:ascii="Arial"/>
          <w:sz w:val="14"/>
        </w:rPr>
        <w:t xml:space="preserve">Email: </w:t>
      </w:r>
      <w:hyperlink r:id="rId12" w:history="1">
        <w:r w:rsidR="005F501A" w:rsidRPr="00BB1488">
          <w:rPr>
            <w:rStyle w:val="Hyperlink"/>
            <w:rFonts w:ascii="Arial"/>
            <w:sz w:val="14"/>
          </w:rPr>
          <w:t>neamatollahi_e@ut.ac.ir</w:t>
        </w:r>
      </w:hyperlink>
    </w:p>
    <w:p w:rsidR="005F501A" w:rsidRDefault="005F501A">
      <w:pPr>
        <w:spacing w:before="62"/>
        <w:ind w:left="4217" w:right="4235"/>
        <w:jc w:val="center"/>
        <w:rPr>
          <w:rFonts w:ascii="Arial"/>
          <w:sz w:val="14"/>
        </w:rPr>
      </w:pPr>
      <w:hyperlink r:id="rId13" w:history="1">
        <w:r w:rsidRPr="00BB1488">
          <w:rPr>
            <w:rStyle w:val="Hyperlink"/>
            <w:rFonts w:ascii="Arial"/>
            <w:sz w:val="14"/>
          </w:rPr>
          <w:t>www.ehsanneamatollahi.ir</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A6EAD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CE5" w:rsidRDefault="00CB7CE5">
      <w:r>
        <w:separator/>
      </w:r>
    </w:p>
  </w:endnote>
  <w:endnote w:type="continuationSeparator" w:id="0">
    <w:p w:rsidR="00CB7CE5" w:rsidRDefault="00CB7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573317F" wp14:editId="1F3E96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73317F"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F2DE823" wp14:editId="5F2F505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DE823"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2B1531" wp14:editId="50D8D9F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B1531"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CE5" w:rsidRDefault="00CB7CE5">
      <w:r>
        <w:separator/>
      </w:r>
    </w:p>
  </w:footnote>
  <w:footnote w:type="continuationSeparator" w:id="0">
    <w:p w:rsidR="00CB7CE5" w:rsidRDefault="00CB7C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44A91D2" wp14:editId="2BC905E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4A91D2"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9F31B05" wp14:editId="5E6074F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31B05"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E69D7"/>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jA0NjEwMTQ1MDYyMTZV0lEKTi0uzszPAykwrAUA3fksuCwAAAA="/>
  </w:docVars>
  <w:rsids>
    <w:rsidRoot w:val="00AE3E37"/>
    <w:rsid w:val="000E2911"/>
    <w:rsid w:val="001263DF"/>
    <w:rsid w:val="001E1151"/>
    <w:rsid w:val="0020639D"/>
    <w:rsid w:val="00284D56"/>
    <w:rsid w:val="00292ED9"/>
    <w:rsid w:val="0032489E"/>
    <w:rsid w:val="003B7935"/>
    <w:rsid w:val="00404E5B"/>
    <w:rsid w:val="00414F7B"/>
    <w:rsid w:val="004355DC"/>
    <w:rsid w:val="004749B4"/>
    <w:rsid w:val="00494130"/>
    <w:rsid w:val="00497D9D"/>
    <w:rsid w:val="004F3523"/>
    <w:rsid w:val="005973B9"/>
    <w:rsid w:val="005B3A56"/>
    <w:rsid w:val="005F501A"/>
    <w:rsid w:val="006060CE"/>
    <w:rsid w:val="0062351B"/>
    <w:rsid w:val="0063497F"/>
    <w:rsid w:val="00873DF0"/>
    <w:rsid w:val="008756E6"/>
    <w:rsid w:val="009B2D44"/>
    <w:rsid w:val="00A07E82"/>
    <w:rsid w:val="00A754E7"/>
    <w:rsid w:val="00A9710C"/>
    <w:rsid w:val="00AE3E37"/>
    <w:rsid w:val="00B21A57"/>
    <w:rsid w:val="00C33602"/>
    <w:rsid w:val="00CB7CE5"/>
    <w:rsid w:val="00CD6F55"/>
    <w:rsid w:val="00D1263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ADA070-41E8-48A2-BD1C-B629B400F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A754E7"/>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hsanneamatollahi.ir"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neamatollahi_e@ut.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10.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10.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33651813832748"/>
          <c:y val="6.5417781742491826E-2"/>
          <c:w val="0.86717197100845955"/>
          <c:h val="0.8691644365150164"/>
        </c:manualLayout>
      </c:layout>
      <c:lineChart>
        <c:grouping val="standard"/>
        <c:varyColors val="0"/>
        <c:ser>
          <c:idx val="0"/>
          <c:order val="0"/>
          <c:tx>
            <c:v>Tillages</c:v>
          </c:tx>
          <c:spPr>
            <a:ln w="15875" cap="rnd">
              <a:solidFill>
                <a:schemeClr val="tx1"/>
              </a:solidFill>
              <a:prstDash val="sysDot"/>
              <a:round/>
            </a:ln>
            <a:effectLst/>
          </c:spPr>
          <c:marker>
            <c:symbol val="circle"/>
            <c:size val="5"/>
            <c:spPr>
              <a:solidFill>
                <a:schemeClr val="tx1"/>
              </a:solidFill>
              <a:ln w="9525">
                <a:solidFill>
                  <a:schemeClr val="tx1"/>
                </a:solidFill>
              </a:ln>
              <a:effectLst/>
            </c:spPr>
          </c:marker>
          <c:dLbls>
            <c:dLbl>
              <c:idx val="0"/>
              <c:tx>
                <c:rich>
                  <a:bodyPr/>
                  <a:lstStyle/>
                  <a:p>
                    <a:r>
                      <a:rPr lang="en-US"/>
                      <a:t>NT,b</a:t>
                    </a:r>
                  </a:p>
                </c:rich>
              </c:tx>
              <c:dLblPos val="l"/>
              <c:showLegendKey val="0"/>
              <c:showVal val="1"/>
              <c:showCatName val="0"/>
              <c:showSerName val="0"/>
              <c:showPercent val="0"/>
              <c:showBubbleSize val="0"/>
              <c:extLst>
                <c:ext xmlns:c15="http://schemas.microsoft.com/office/drawing/2012/chart" uri="{CE6537A1-D6FC-4f65-9D91-7224C49458BB}"/>
              </c:extLst>
            </c:dLbl>
            <c:dLbl>
              <c:idx val="1"/>
              <c:layout>
                <c:manualLayout>
                  <c:x val="-9.3055555555555558E-2"/>
                  <c:y val="2.7777777777777776E-2"/>
                </c:manualLayout>
              </c:layout>
              <c:tx>
                <c:rich>
                  <a:bodyPr/>
                  <a:lstStyle/>
                  <a:p>
                    <a:r>
                      <a:rPr lang="en-US"/>
                      <a:t>MT,b</a:t>
                    </a:r>
                  </a:p>
                </c:rich>
              </c:tx>
              <c:dLblPos val="r"/>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CT,a</a:t>
                    </a:r>
                  </a:p>
                </c:rich>
              </c:tx>
              <c:dLblPos val="l"/>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Sheet1!$M$5:$M$7</c:f>
              <c:strCache>
                <c:ptCount val="3"/>
                <c:pt idx="0">
                  <c:v>No tillage</c:v>
                </c:pt>
                <c:pt idx="1">
                  <c:v>Minimum tillage</c:v>
                </c:pt>
                <c:pt idx="2">
                  <c:v>Conventional tillage</c:v>
                </c:pt>
              </c:strCache>
            </c:strRef>
          </c:cat>
          <c:val>
            <c:numRef>
              <c:f>Sheet1!$N$5:$N$7</c:f>
              <c:numCache>
                <c:formatCode>General</c:formatCode>
                <c:ptCount val="3"/>
                <c:pt idx="0">
                  <c:v>2.5390000000000001</c:v>
                </c:pt>
                <c:pt idx="1">
                  <c:v>2.5</c:v>
                </c:pt>
                <c:pt idx="2">
                  <c:v>3.149</c:v>
                </c:pt>
              </c:numCache>
            </c:numRef>
          </c:val>
          <c:smooth val="0"/>
        </c:ser>
        <c:ser>
          <c:idx val="1"/>
          <c:order val="1"/>
          <c:tx>
            <c:v>Residue</c:v>
          </c:tx>
          <c:spPr>
            <a:ln w="15875" cap="rnd">
              <a:solidFill>
                <a:schemeClr val="tx1"/>
              </a:solidFill>
              <a:prstDash val="lgDash"/>
              <a:round/>
            </a:ln>
            <a:effectLst/>
          </c:spPr>
          <c:marker>
            <c:symbol val="triangle"/>
            <c:size val="5"/>
            <c:spPr>
              <a:solidFill>
                <a:schemeClr val="tx1"/>
              </a:solidFill>
              <a:ln w="9525">
                <a:solidFill>
                  <a:schemeClr val="tx1"/>
                </a:solidFill>
              </a:ln>
              <a:effectLst/>
            </c:spPr>
          </c:marker>
          <c:dLbls>
            <c:dLbl>
              <c:idx val="0"/>
              <c:tx>
                <c:rich>
                  <a:bodyPr/>
                  <a:lstStyle/>
                  <a:p>
                    <a:r>
                      <a:rPr lang="en-US"/>
                      <a:t>0%,ab</a:t>
                    </a:r>
                  </a:p>
                </c:rich>
              </c:tx>
              <c:dLblPos val="t"/>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30%,b</a:t>
                    </a:r>
                  </a:p>
                </c:rich>
              </c:tx>
              <c:dLblPos val="t"/>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60%,a</a:t>
                    </a:r>
                  </a:p>
                </c:rich>
              </c:tx>
              <c:dLblPos val="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Sheet1!$O$5:$O$7</c:f>
              <c:numCache>
                <c:formatCode>General</c:formatCode>
                <c:ptCount val="3"/>
                <c:pt idx="0">
                  <c:v>3.1360000000000001</c:v>
                </c:pt>
                <c:pt idx="1">
                  <c:v>3.0590000000000002</c:v>
                </c:pt>
                <c:pt idx="2">
                  <c:v>3.4159999999999999</c:v>
                </c:pt>
              </c:numCache>
            </c:numRef>
          </c:val>
          <c:smooth val="0"/>
        </c:ser>
        <c:ser>
          <c:idx val="2"/>
          <c:order val="2"/>
          <c:tx>
            <c:v>NTR</c:v>
          </c:tx>
          <c:spPr>
            <a:ln w="15875" cap="rnd">
              <a:solidFill>
                <a:schemeClr val="tx1"/>
              </a:solidFill>
              <a:prstDash val="lgDashDot"/>
              <a:round/>
            </a:ln>
            <a:effectLst/>
          </c:spPr>
          <c:marker>
            <c:symbol val="square"/>
            <c:size val="5"/>
            <c:spPr>
              <a:solidFill>
                <a:schemeClr val="tx1"/>
              </a:solidFill>
              <a:ln w="9525">
                <a:solidFill>
                  <a:schemeClr val="tx1"/>
                </a:solidFill>
              </a:ln>
              <a:effectLst/>
            </c:spPr>
          </c:marker>
          <c:dLbls>
            <c:dLbl>
              <c:idx val="0"/>
              <c:tx>
                <c:rich>
                  <a:bodyPr/>
                  <a:lstStyle/>
                  <a:p>
                    <a:r>
                      <a:rPr lang="en-US"/>
                      <a:t>NT0%,d</a:t>
                    </a:r>
                  </a:p>
                </c:rich>
              </c:tx>
              <c:dLblPos val="l"/>
              <c:showLegendKey val="0"/>
              <c:showVal val="1"/>
              <c:showCatName val="0"/>
              <c:showSerName val="0"/>
              <c:showPercent val="0"/>
              <c:showBubbleSize val="0"/>
              <c:extLst>
                <c:ext xmlns:c15="http://schemas.microsoft.com/office/drawing/2012/chart" uri="{CE6537A1-D6FC-4f65-9D91-7224C49458BB}"/>
              </c:extLst>
            </c:dLbl>
            <c:dLbl>
              <c:idx val="1"/>
              <c:layout>
                <c:manualLayout>
                  <c:x val="-7.2666666666666768E-2"/>
                  <c:y val="-6.4814814814814811E-2"/>
                </c:manualLayout>
              </c:layout>
              <c:tx>
                <c:rich>
                  <a:bodyPr/>
                  <a:lstStyle/>
                  <a:p>
                    <a:r>
                      <a:rPr lang="en-US"/>
                      <a:t>NT30%,c</a:t>
                    </a:r>
                  </a:p>
                </c:rich>
              </c:tx>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7.0861111111111111E-2"/>
                  <c:y val="6.0185185185185182E-2"/>
                </c:manualLayout>
              </c:layout>
              <c:tx>
                <c:rich>
                  <a:bodyPr/>
                  <a:lstStyle/>
                  <a:p>
                    <a:r>
                      <a:rPr lang="en-US"/>
                      <a:t>NT60%,c</a:t>
                    </a:r>
                  </a:p>
                </c:rich>
              </c:tx>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Sheet1!$P$5:$P$7</c:f>
              <c:numCache>
                <c:formatCode>General</c:formatCode>
                <c:ptCount val="3"/>
                <c:pt idx="0">
                  <c:v>2.4</c:v>
                </c:pt>
                <c:pt idx="1">
                  <c:v>2.5830000000000002</c:v>
                </c:pt>
                <c:pt idx="2">
                  <c:v>2.633</c:v>
                </c:pt>
              </c:numCache>
            </c:numRef>
          </c:val>
          <c:smooth val="0"/>
        </c:ser>
        <c:ser>
          <c:idx val="3"/>
          <c:order val="3"/>
          <c:tx>
            <c:v>MTR</c:v>
          </c:tx>
          <c:spPr>
            <a:ln w="15875" cap="rnd">
              <a:solidFill>
                <a:schemeClr val="tx1"/>
              </a:solidFill>
              <a:prstDash val="dash"/>
              <a:round/>
            </a:ln>
            <a:effectLst/>
          </c:spPr>
          <c:marker>
            <c:symbol val="diamond"/>
            <c:size val="5"/>
            <c:spPr>
              <a:solidFill>
                <a:schemeClr val="tx1"/>
              </a:solidFill>
              <a:ln w="9525">
                <a:solidFill>
                  <a:schemeClr val="tx1"/>
                </a:solidFill>
              </a:ln>
              <a:effectLst/>
            </c:spPr>
          </c:marker>
          <c:dLbls>
            <c:dLbl>
              <c:idx val="0"/>
              <c:tx>
                <c:rich>
                  <a:bodyPr/>
                  <a:lstStyle/>
                  <a:p>
                    <a:r>
                      <a:rPr lang="en-US"/>
                      <a:t>MT0%,d</a:t>
                    </a:r>
                  </a:p>
                </c:rich>
              </c:tx>
              <c:dLblPos val="b"/>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MT30%,d</a:t>
                    </a:r>
                  </a:p>
                </c:rich>
              </c:tx>
              <c:dLblPos val="b"/>
              <c:showLegendKey val="0"/>
              <c:showVal val="1"/>
              <c:showCatName val="0"/>
              <c:showSerName val="0"/>
              <c:showPercent val="0"/>
              <c:showBubbleSize val="0"/>
              <c:extLst>
                <c:ext xmlns:c15="http://schemas.microsoft.com/office/drawing/2012/chart" uri="{CE6537A1-D6FC-4f65-9D91-7224C49458BB}"/>
              </c:extLst>
            </c:dLbl>
            <c:dLbl>
              <c:idx val="2"/>
              <c:layout>
                <c:manualLayout>
                  <c:x val="-5.9041776027996602E-2"/>
                  <c:y val="-6.4849445902595504E-2"/>
                </c:manualLayout>
              </c:layout>
              <c:tx>
                <c:rich>
                  <a:bodyPr/>
                  <a:lstStyle/>
                  <a:p>
                    <a:r>
                      <a:rPr lang="en-US"/>
                      <a:t>MT60%,c</a:t>
                    </a:r>
                  </a:p>
                </c:rich>
              </c:tx>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Sheet1!$Q$5:$Q$7</c:f>
              <c:numCache>
                <c:formatCode>General</c:formatCode>
                <c:ptCount val="3"/>
                <c:pt idx="0">
                  <c:v>2.367</c:v>
                </c:pt>
                <c:pt idx="1">
                  <c:v>2.41</c:v>
                </c:pt>
                <c:pt idx="2">
                  <c:v>2.7229999999999999</c:v>
                </c:pt>
              </c:numCache>
            </c:numRef>
          </c:val>
          <c:smooth val="0"/>
        </c:ser>
        <c:ser>
          <c:idx val="4"/>
          <c:order val="4"/>
          <c:tx>
            <c:v>CTR</c:v>
          </c:tx>
          <c:spPr>
            <a:ln w="15875" cap="rnd">
              <a:solidFill>
                <a:schemeClr val="tx1"/>
              </a:solidFill>
              <a:prstDash val="sysDash"/>
              <a:round/>
            </a:ln>
            <a:effectLst/>
          </c:spPr>
          <c:marker>
            <c:symbol val="star"/>
            <c:size val="5"/>
            <c:spPr>
              <a:solidFill>
                <a:schemeClr val="tx1"/>
              </a:solidFill>
              <a:ln w="9525">
                <a:solidFill>
                  <a:schemeClr val="accent1"/>
                </a:solidFill>
              </a:ln>
              <a:effectLst/>
            </c:spPr>
          </c:marker>
          <c:dLbls>
            <c:dLbl>
              <c:idx val="0"/>
              <c:tx>
                <c:rich>
                  <a:bodyPr/>
                  <a:lstStyle/>
                  <a:p>
                    <a:r>
                      <a:rPr lang="en-US"/>
                      <a:t>CT0%,a</a:t>
                    </a:r>
                  </a:p>
                </c:rich>
              </c:tx>
              <c:dLblPos val="b"/>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CT30%,b</a:t>
                    </a:r>
                  </a:p>
                </c:rich>
              </c:tx>
              <c:dLblPos val="b"/>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CT60%,a</a:t>
                    </a:r>
                  </a:p>
                </c:rich>
              </c:tx>
              <c:dLblPos val="b"/>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Sheet1!$R$5:$R$7</c:f>
              <c:numCache>
                <c:formatCode>General</c:formatCode>
                <c:ptCount val="3"/>
                <c:pt idx="0">
                  <c:v>3.44</c:v>
                </c:pt>
                <c:pt idx="1">
                  <c:v>2.9830000000000001</c:v>
                </c:pt>
                <c:pt idx="2">
                  <c:v>3.39</c:v>
                </c:pt>
              </c:numCache>
            </c:numRef>
          </c:val>
          <c:smooth val="0"/>
        </c:ser>
        <c:dLbls>
          <c:showLegendKey val="0"/>
          <c:showVal val="0"/>
          <c:showCatName val="0"/>
          <c:showSerName val="0"/>
          <c:showPercent val="0"/>
          <c:showBubbleSize val="0"/>
        </c:dLbls>
        <c:marker val="1"/>
        <c:smooth val="0"/>
        <c:axId val="746155552"/>
        <c:axId val="746156112"/>
      </c:lineChart>
      <c:catAx>
        <c:axId val="746155552"/>
        <c:scaling>
          <c:orientation val="minMax"/>
        </c:scaling>
        <c:delete val="1"/>
        <c:axPos val="b"/>
        <c:numFmt formatCode="General" sourceLinked="1"/>
        <c:majorTickMark val="none"/>
        <c:minorTickMark val="none"/>
        <c:tickLblPos val="nextTo"/>
        <c:crossAx val="746156112"/>
        <c:crosses val="autoZero"/>
        <c:auto val="1"/>
        <c:lblAlgn val="ctr"/>
        <c:lblOffset val="100"/>
        <c:noMultiLvlLbl val="0"/>
      </c:catAx>
      <c:valAx>
        <c:axId val="746156112"/>
        <c:scaling>
          <c:orientation val="minMax"/>
          <c:min val="2.299999999999999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600">
                    <a:solidFill>
                      <a:schemeClr val="tx1"/>
                    </a:solidFill>
                    <a:latin typeface="Times New Roman" panose="02020603050405020304" pitchFamily="18" charset="0"/>
                    <a:cs typeface="Times New Roman" panose="02020603050405020304" pitchFamily="18" charset="0"/>
                  </a:rPr>
                  <a:t>NFPC</a:t>
                </a:r>
              </a:p>
            </c:rich>
          </c:tx>
          <c:layout>
            <c:manualLayout>
              <c:xMode val="edge"/>
              <c:yMode val="edge"/>
              <c:x val="2.2202486678507993E-2"/>
              <c:y val="0.45087630175260351"/>
            </c:manualLayout>
          </c:layout>
          <c:overlay val="0"/>
          <c:spPr>
            <a:noFill/>
            <a:ln>
              <a:noFill/>
            </a:ln>
            <a:effectLst/>
          </c:spPr>
          <c:txPr>
            <a:bodyPr rot="-5400000" spcFirstLastPara="1" vertOverflow="ellipsis" vert="horz" wrap="square" anchor="ctr" anchorCtr="1"/>
            <a:lstStyle/>
            <a:p>
              <a:pPr>
                <a:defRPr sz="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46155552"/>
        <c:crosses val="autoZero"/>
        <c:crossBetween val="between"/>
        <c:majorUnit val="0.1"/>
        <c:minorUnit val="5.000000000000001E-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33651813832748"/>
          <c:y val="6.5417781742491826E-2"/>
          <c:w val="0.86717197100845955"/>
          <c:h val="0.8691644365150164"/>
        </c:manualLayout>
      </c:layout>
      <c:lineChart>
        <c:grouping val="standard"/>
        <c:varyColors val="0"/>
        <c:ser>
          <c:idx val="0"/>
          <c:order val="0"/>
          <c:tx>
            <c:v>Tillages</c:v>
          </c:tx>
          <c:spPr>
            <a:ln w="15875" cap="rnd">
              <a:solidFill>
                <a:schemeClr val="tx1"/>
              </a:solidFill>
              <a:prstDash val="sysDot"/>
              <a:round/>
            </a:ln>
            <a:effectLst/>
          </c:spPr>
          <c:marker>
            <c:symbol val="circle"/>
            <c:size val="5"/>
            <c:spPr>
              <a:solidFill>
                <a:schemeClr val="tx1"/>
              </a:solidFill>
              <a:ln w="9525">
                <a:solidFill>
                  <a:schemeClr val="tx1"/>
                </a:solidFill>
              </a:ln>
              <a:effectLst/>
            </c:spPr>
          </c:marker>
          <c:dLbls>
            <c:dLbl>
              <c:idx val="0"/>
              <c:tx>
                <c:rich>
                  <a:bodyPr/>
                  <a:lstStyle/>
                  <a:p>
                    <a:r>
                      <a:rPr lang="en-US"/>
                      <a:t>NT,b</a:t>
                    </a:r>
                  </a:p>
                </c:rich>
              </c:tx>
              <c:dLblPos val="l"/>
              <c:showLegendKey val="0"/>
              <c:showVal val="1"/>
              <c:showCatName val="0"/>
              <c:showSerName val="0"/>
              <c:showPercent val="0"/>
              <c:showBubbleSize val="0"/>
              <c:extLst>
                <c:ext xmlns:c15="http://schemas.microsoft.com/office/drawing/2012/chart" uri="{CE6537A1-D6FC-4f65-9D91-7224C49458BB}"/>
              </c:extLst>
            </c:dLbl>
            <c:dLbl>
              <c:idx val="1"/>
              <c:layout>
                <c:manualLayout>
                  <c:x val="-9.3055555555555558E-2"/>
                  <c:y val="2.7777777777777776E-2"/>
                </c:manualLayout>
              </c:layout>
              <c:tx>
                <c:rich>
                  <a:bodyPr/>
                  <a:lstStyle/>
                  <a:p>
                    <a:r>
                      <a:rPr lang="en-US"/>
                      <a:t>MT,b</a:t>
                    </a:r>
                  </a:p>
                </c:rich>
              </c:tx>
              <c:dLblPos val="r"/>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CT,a</a:t>
                    </a:r>
                  </a:p>
                </c:rich>
              </c:tx>
              <c:dLblPos val="l"/>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Sheet1!$M$5:$M$7</c:f>
              <c:strCache>
                <c:ptCount val="3"/>
                <c:pt idx="0">
                  <c:v>No tillage</c:v>
                </c:pt>
                <c:pt idx="1">
                  <c:v>Minimum tillage</c:v>
                </c:pt>
                <c:pt idx="2">
                  <c:v>Conventional tillage</c:v>
                </c:pt>
              </c:strCache>
            </c:strRef>
          </c:cat>
          <c:val>
            <c:numRef>
              <c:f>Sheet1!$N$5:$N$7</c:f>
              <c:numCache>
                <c:formatCode>General</c:formatCode>
                <c:ptCount val="3"/>
                <c:pt idx="0">
                  <c:v>2.5390000000000001</c:v>
                </c:pt>
                <c:pt idx="1">
                  <c:v>2.5</c:v>
                </c:pt>
                <c:pt idx="2">
                  <c:v>3.149</c:v>
                </c:pt>
              </c:numCache>
            </c:numRef>
          </c:val>
          <c:smooth val="0"/>
        </c:ser>
        <c:ser>
          <c:idx val="1"/>
          <c:order val="1"/>
          <c:tx>
            <c:v>Residue</c:v>
          </c:tx>
          <c:spPr>
            <a:ln w="15875" cap="rnd">
              <a:solidFill>
                <a:schemeClr val="tx1"/>
              </a:solidFill>
              <a:prstDash val="lgDash"/>
              <a:round/>
            </a:ln>
            <a:effectLst/>
          </c:spPr>
          <c:marker>
            <c:symbol val="triangle"/>
            <c:size val="5"/>
            <c:spPr>
              <a:solidFill>
                <a:schemeClr val="tx1"/>
              </a:solidFill>
              <a:ln w="9525">
                <a:solidFill>
                  <a:schemeClr val="tx1"/>
                </a:solidFill>
              </a:ln>
              <a:effectLst/>
            </c:spPr>
          </c:marker>
          <c:dLbls>
            <c:dLbl>
              <c:idx val="0"/>
              <c:tx>
                <c:rich>
                  <a:bodyPr/>
                  <a:lstStyle/>
                  <a:p>
                    <a:r>
                      <a:rPr lang="en-US"/>
                      <a:t>0%,ab</a:t>
                    </a:r>
                  </a:p>
                </c:rich>
              </c:tx>
              <c:dLblPos val="t"/>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30%,b</a:t>
                    </a:r>
                  </a:p>
                </c:rich>
              </c:tx>
              <c:dLblPos val="t"/>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60%,a</a:t>
                    </a:r>
                  </a:p>
                </c:rich>
              </c:tx>
              <c:dLblPos val="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Sheet1!$O$5:$O$7</c:f>
              <c:numCache>
                <c:formatCode>General</c:formatCode>
                <c:ptCount val="3"/>
                <c:pt idx="0">
                  <c:v>3.1360000000000001</c:v>
                </c:pt>
                <c:pt idx="1">
                  <c:v>3.0590000000000002</c:v>
                </c:pt>
                <c:pt idx="2">
                  <c:v>3.4159999999999999</c:v>
                </c:pt>
              </c:numCache>
            </c:numRef>
          </c:val>
          <c:smooth val="0"/>
        </c:ser>
        <c:ser>
          <c:idx val="2"/>
          <c:order val="2"/>
          <c:tx>
            <c:v>NTR</c:v>
          </c:tx>
          <c:spPr>
            <a:ln w="15875" cap="rnd">
              <a:solidFill>
                <a:schemeClr val="tx1"/>
              </a:solidFill>
              <a:prstDash val="lgDashDot"/>
              <a:round/>
            </a:ln>
            <a:effectLst/>
          </c:spPr>
          <c:marker>
            <c:symbol val="square"/>
            <c:size val="5"/>
            <c:spPr>
              <a:solidFill>
                <a:schemeClr val="tx1"/>
              </a:solidFill>
              <a:ln w="9525">
                <a:solidFill>
                  <a:schemeClr val="tx1"/>
                </a:solidFill>
              </a:ln>
              <a:effectLst/>
            </c:spPr>
          </c:marker>
          <c:dLbls>
            <c:dLbl>
              <c:idx val="0"/>
              <c:tx>
                <c:rich>
                  <a:bodyPr/>
                  <a:lstStyle/>
                  <a:p>
                    <a:r>
                      <a:rPr lang="en-US"/>
                      <a:t>NT0%,d</a:t>
                    </a:r>
                  </a:p>
                </c:rich>
              </c:tx>
              <c:dLblPos val="l"/>
              <c:showLegendKey val="0"/>
              <c:showVal val="1"/>
              <c:showCatName val="0"/>
              <c:showSerName val="0"/>
              <c:showPercent val="0"/>
              <c:showBubbleSize val="0"/>
              <c:extLst>
                <c:ext xmlns:c15="http://schemas.microsoft.com/office/drawing/2012/chart" uri="{CE6537A1-D6FC-4f65-9D91-7224C49458BB}"/>
              </c:extLst>
            </c:dLbl>
            <c:dLbl>
              <c:idx val="1"/>
              <c:layout>
                <c:manualLayout>
                  <c:x val="-7.2666666666666768E-2"/>
                  <c:y val="-6.4814814814814811E-2"/>
                </c:manualLayout>
              </c:layout>
              <c:tx>
                <c:rich>
                  <a:bodyPr/>
                  <a:lstStyle/>
                  <a:p>
                    <a:r>
                      <a:rPr lang="en-US"/>
                      <a:t>NT30%,c</a:t>
                    </a:r>
                  </a:p>
                </c:rich>
              </c:tx>
              <c:dLblPos val="r"/>
              <c:showLegendKey val="0"/>
              <c:showVal val="1"/>
              <c:showCatName val="0"/>
              <c:showSerName val="0"/>
              <c:showPercent val="0"/>
              <c:showBubbleSize val="0"/>
              <c:extLst>
                <c:ext xmlns:c15="http://schemas.microsoft.com/office/drawing/2012/chart" uri="{CE6537A1-D6FC-4f65-9D91-7224C49458BB}"/>
              </c:extLst>
            </c:dLbl>
            <c:dLbl>
              <c:idx val="2"/>
              <c:layout>
                <c:manualLayout>
                  <c:x val="-7.0861111111111111E-2"/>
                  <c:y val="6.0185185185185182E-2"/>
                </c:manualLayout>
              </c:layout>
              <c:tx>
                <c:rich>
                  <a:bodyPr/>
                  <a:lstStyle/>
                  <a:p>
                    <a:r>
                      <a:rPr lang="en-US"/>
                      <a:t>NT60%,c</a:t>
                    </a:r>
                  </a:p>
                </c:rich>
              </c:tx>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Sheet1!$P$5:$P$7</c:f>
              <c:numCache>
                <c:formatCode>General</c:formatCode>
                <c:ptCount val="3"/>
                <c:pt idx="0">
                  <c:v>2.4</c:v>
                </c:pt>
                <c:pt idx="1">
                  <c:v>2.5830000000000002</c:v>
                </c:pt>
                <c:pt idx="2">
                  <c:v>2.633</c:v>
                </c:pt>
              </c:numCache>
            </c:numRef>
          </c:val>
          <c:smooth val="0"/>
        </c:ser>
        <c:ser>
          <c:idx val="3"/>
          <c:order val="3"/>
          <c:tx>
            <c:v>MTR</c:v>
          </c:tx>
          <c:spPr>
            <a:ln w="15875" cap="rnd">
              <a:solidFill>
                <a:schemeClr val="tx1"/>
              </a:solidFill>
              <a:prstDash val="dash"/>
              <a:round/>
            </a:ln>
            <a:effectLst/>
          </c:spPr>
          <c:marker>
            <c:symbol val="diamond"/>
            <c:size val="5"/>
            <c:spPr>
              <a:solidFill>
                <a:schemeClr val="tx1"/>
              </a:solidFill>
              <a:ln w="9525">
                <a:solidFill>
                  <a:schemeClr val="tx1"/>
                </a:solidFill>
              </a:ln>
              <a:effectLst/>
            </c:spPr>
          </c:marker>
          <c:dLbls>
            <c:dLbl>
              <c:idx val="0"/>
              <c:tx>
                <c:rich>
                  <a:bodyPr/>
                  <a:lstStyle/>
                  <a:p>
                    <a:r>
                      <a:rPr lang="en-US"/>
                      <a:t>MT0%,d</a:t>
                    </a:r>
                  </a:p>
                </c:rich>
              </c:tx>
              <c:dLblPos val="b"/>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MT30%,d</a:t>
                    </a:r>
                  </a:p>
                </c:rich>
              </c:tx>
              <c:dLblPos val="b"/>
              <c:showLegendKey val="0"/>
              <c:showVal val="1"/>
              <c:showCatName val="0"/>
              <c:showSerName val="0"/>
              <c:showPercent val="0"/>
              <c:showBubbleSize val="0"/>
              <c:extLst>
                <c:ext xmlns:c15="http://schemas.microsoft.com/office/drawing/2012/chart" uri="{CE6537A1-D6FC-4f65-9D91-7224C49458BB}"/>
              </c:extLst>
            </c:dLbl>
            <c:dLbl>
              <c:idx val="2"/>
              <c:layout>
                <c:manualLayout>
                  <c:x val="-5.9041776027996602E-2"/>
                  <c:y val="-6.4849445902595504E-2"/>
                </c:manualLayout>
              </c:layout>
              <c:tx>
                <c:rich>
                  <a:bodyPr/>
                  <a:lstStyle/>
                  <a:p>
                    <a:r>
                      <a:rPr lang="en-US"/>
                      <a:t>MT60%,c</a:t>
                    </a:r>
                  </a:p>
                </c:rich>
              </c:tx>
              <c:dLblPos val="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Sheet1!$Q$5:$Q$7</c:f>
              <c:numCache>
                <c:formatCode>General</c:formatCode>
                <c:ptCount val="3"/>
                <c:pt idx="0">
                  <c:v>2.367</c:v>
                </c:pt>
                <c:pt idx="1">
                  <c:v>2.41</c:v>
                </c:pt>
                <c:pt idx="2">
                  <c:v>2.7229999999999999</c:v>
                </c:pt>
              </c:numCache>
            </c:numRef>
          </c:val>
          <c:smooth val="0"/>
        </c:ser>
        <c:ser>
          <c:idx val="4"/>
          <c:order val="4"/>
          <c:tx>
            <c:v>CTR</c:v>
          </c:tx>
          <c:spPr>
            <a:ln w="15875" cap="rnd">
              <a:solidFill>
                <a:schemeClr val="tx1"/>
              </a:solidFill>
              <a:prstDash val="sysDash"/>
              <a:round/>
            </a:ln>
            <a:effectLst/>
          </c:spPr>
          <c:marker>
            <c:symbol val="star"/>
            <c:size val="5"/>
            <c:spPr>
              <a:solidFill>
                <a:schemeClr val="tx1"/>
              </a:solidFill>
              <a:ln w="9525">
                <a:solidFill>
                  <a:schemeClr val="accent1"/>
                </a:solidFill>
              </a:ln>
              <a:effectLst/>
            </c:spPr>
          </c:marker>
          <c:dLbls>
            <c:dLbl>
              <c:idx val="0"/>
              <c:tx>
                <c:rich>
                  <a:bodyPr/>
                  <a:lstStyle/>
                  <a:p>
                    <a:r>
                      <a:rPr lang="en-US"/>
                      <a:t>CT0%,a</a:t>
                    </a:r>
                  </a:p>
                </c:rich>
              </c:tx>
              <c:dLblPos val="b"/>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CT30%,b</a:t>
                    </a:r>
                  </a:p>
                </c:rich>
              </c:tx>
              <c:dLblPos val="b"/>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CT60%,a</a:t>
                    </a:r>
                  </a:p>
                </c:rich>
              </c:tx>
              <c:dLblPos val="b"/>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5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Sheet1!$R$5:$R$7</c:f>
              <c:numCache>
                <c:formatCode>General</c:formatCode>
                <c:ptCount val="3"/>
                <c:pt idx="0">
                  <c:v>3.44</c:v>
                </c:pt>
                <c:pt idx="1">
                  <c:v>2.9830000000000001</c:v>
                </c:pt>
                <c:pt idx="2">
                  <c:v>3.39</c:v>
                </c:pt>
              </c:numCache>
            </c:numRef>
          </c:val>
          <c:smooth val="0"/>
        </c:ser>
        <c:dLbls>
          <c:showLegendKey val="0"/>
          <c:showVal val="0"/>
          <c:showCatName val="0"/>
          <c:showSerName val="0"/>
          <c:showPercent val="0"/>
          <c:showBubbleSize val="0"/>
        </c:dLbls>
        <c:marker val="1"/>
        <c:smooth val="0"/>
        <c:axId val="925851520"/>
        <c:axId val="929505984"/>
      </c:lineChart>
      <c:catAx>
        <c:axId val="925851520"/>
        <c:scaling>
          <c:orientation val="minMax"/>
        </c:scaling>
        <c:delete val="1"/>
        <c:axPos val="b"/>
        <c:numFmt formatCode="General" sourceLinked="1"/>
        <c:majorTickMark val="none"/>
        <c:minorTickMark val="none"/>
        <c:tickLblPos val="nextTo"/>
        <c:crossAx val="929505984"/>
        <c:crosses val="autoZero"/>
        <c:auto val="1"/>
        <c:lblAlgn val="ctr"/>
        <c:lblOffset val="100"/>
        <c:noMultiLvlLbl val="0"/>
      </c:catAx>
      <c:valAx>
        <c:axId val="929505984"/>
        <c:scaling>
          <c:orientation val="minMax"/>
          <c:min val="2.299999999999999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600">
                    <a:solidFill>
                      <a:schemeClr val="tx1"/>
                    </a:solidFill>
                    <a:latin typeface="Times New Roman" panose="02020603050405020304" pitchFamily="18" charset="0"/>
                    <a:cs typeface="Times New Roman" panose="02020603050405020304" pitchFamily="18" charset="0"/>
                  </a:rPr>
                  <a:t>NFPC</a:t>
                </a:r>
              </a:p>
            </c:rich>
          </c:tx>
          <c:layout>
            <c:manualLayout>
              <c:xMode val="edge"/>
              <c:yMode val="edge"/>
              <c:x val="2.2202486678507993E-2"/>
              <c:y val="0.45087630175260351"/>
            </c:manualLayout>
          </c:layout>
          <c:overlay val="0"/>
          <c:spPr>
            <a:noFill/>
            <a:ln>
              <a:noFill/>
            </a:ln>
            <a:effectLst/>
          </c:spPr>
          <c:txPr>
            <a:bodyPr rot="-5400000" spcFirstLastPara="1" vertOverflow="ellipsis" vert="horz" wrap="square" anchor="ctr" anchorCtr="1"/>
            <a:lstStyle/>
            <a:p>
              <a:pPr>
                <a:defRPr sz="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5851520"/>
        <c:crosses val="autoZero"/>
        <c:crossBetween val="between"/>
        <c:majorUnit val="0.1"/>
        <c:minorUnit val="5.000000000000001E-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Ehsan</cp:lastModifiedBy>
  <cp:revision>6</cp:revision>
  <dcterms:created xsi:type="dcterms:W3CDTF">2016-10-05T09:40:00Z</dcterms:created>
  <dcterms:modified xsi:type="dcterms:W3CDTF">2016-10-08T07:11:00Z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