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8EA" w:rsidRDefault="007668EA" w:rsidP="007668EA">
      <w:pPr>
        <w:pStyle w:val="Heading1"/>
        <w:jc w:val="center"/>
        <w:rPr>
          <w:color w:val="000000" w:themeColor="text1"/>
        </w:rPr>
      </w:pPr>
      <w:r w:rsidRPr="002E2B90">
        <w:rPr>
          <w:color w:val="000000" w:themeColor="text1"/>
        </w:rPr>
        <w:t>Synthetic promoter highly suitable for translational research in plants</w:t>
      </w:r>
    </w:p>
    <w:p w:rsidR="00471D55" w:rsidRPr="005B7241" w:rsidRDefault="00471D55" w:rsidP="00471D55">
      <w:pPr>
        <w:autoSpaceDE w:val="0"/>
        <w:autoSpaceDN w:val="0"/>
        <w:adjustRightInd w:val="0"/>
        <w:spacing w:after="0" w:line="360" w:lineRule="auto"/>
        <w:jc w:val="center"/>
        <w:rPr>
          <w:rFonts w:ascii="Times New Roman" w:hAnsi="Times New Roman"/>
          <w:b/>
          <w:sz w:val="20"/>
          <w:szCs w:val="20"/>
        </w:rPr>
      </w:pPr>
      <w:proofErr w:type="spellStart"/>
      <w:r w:rsidRPr="005B7241">
        <w:rPr>
          <w:rFonts w:ascii="Times New Roman" w:hAnsi="Times New Roman"/>
          <w:b/>
          <w:sz w:val="20"/>
          <w:szCs w:val="20"/>
        </w:rPr>
        <w:t>Dipinte</w:t>
      </w:r>
      <w:proofErr w:type="spellEnd"/>
      <w:r w:rsidRPr="005B7241">
        <w:rPr>
          <w:rFonts w:ascii="Times New Roman" w:hAnsi="Times New Roman"/>
          <w:b/>
          <w:sz w:val="20"/>
          <w:szCs w:val="20"/>
        </w:rPr>
        <w:t xml:space="preserve"> Gupta</w:t>
      </w:r>
      <w:r w:rsidRPr="005B7241">
        <w:rPr>
          <w:rFonts w:ascii="Times New Roman" w:hAnsi="Times New Roman"/>
          <w:b/>
          <w:sz w:val="20"/>
          <w:szCs w:val="20"/>
          <w:vertAlign w:val="superscript"/>
        </w:rPr>
        <w:t>*</w:t>
      </w:r>
      <w:proofErr w:type="gramStart"/>
      <w:r w:rsidRPr="005B7241">
        <w:rPr>
          <w:rFonts w:ascii="Times New Roman" w:hAnsi="Times New Roman"/>
          <w:b/>
          <w:sz w:val="20"/>
          <w:szCs w:val="20"/>
        </w:rPr>
        <w:t>&amp;  Rajiv</w:t>
      </w:r>
      <w:proofErr w:type="gramEnd"/>
      <w:r w:rsidRPr="005B7241">
        <w:rPr>
          <w:rFonts w:ascii="Times New Roman" w:hAnsi="Times New Roman"/>
          <w:b/>
          <w:sz w:val="20"/>
          <w:szCs w:val="20"/>
        </w:rPr>
        <w:t xml:space="preserve"> </w:t>
      </w:r>
      <w:proofErr w:type="spellStart"/>
      <w:r w:rsidRPr="005B7241">
        <w:rPr>
          <w:rFonts w:ascii="Times New Roman" w:hAnsi="Times New Roman"/>
          <w:b/>
          <w:sz w:val="20"/>
          <w:szCs w:val="20"/>
        </w:rPr>
        <w:t>Ranjan</w:t>
      </w:r>
      <w:proofErr w:type="spellEnd"/>
    </w:p>
    <w:p w:rsidR="00471D55" w:rsidRPr="005B7241" w:rsidRDefault="00471D55" w:rsidP="00471D55">
      <w:pPr>
        <w:autoSpaceDE w:val="0"/>
        <w:autoSpaceDN w:val="0"/>
        <w:adjustRightInd w:val="0"/>
        <w:spacing w:after="0" w:line="360" w:lineRule="auto"/>
        <w:jc w:val="center"/>
        <w:rPr>
          <w:rFonts w:ascii="Times New Roman" w:hAnsi="Times New Roman"/>
          <w:sz w:val="20"/>
          <w:szCs w:val="20"/>
        </w:rPr>
      </w:pPr>
      <w:r w:rsidRPr="005B7241">
        <w:rPr>
          <w:rFonts w:ascii="Times New Roman" w:hAnsi="Times New Roman"/>
          <w:sz w:val="20"/>
          <w:szCs w:val="20"/>
        </w:rPr>
        <w:t xml:space="preserve">Plant Biotechnology Lab, Department of Botany, Faculty of Science,  </w:t>
      </w:r>
    </w:p>
    <w:p w:rsidR="00471D55" w:rsidRPr="005B7241" w:rsidRDefault="00471D55" w:rsidP="00471D55">
      <w:pPr>
        <w:autoSpaceDE w:val="0"/>
        <w:autoSpaceDN w:val="0"/>
        <w:adjustRightInd w:val="0"/>
        <w:spacing w:after="0" w:line="360" w:lineRule="auto"/>
        <w:jc w:val="center"/>
        <w:rPr>
          <w:rFonts w:ascii="Times New Roman" w:hAnsi="Times New Roman"/>
          <w:sz w:val="20"/>
          <w:szCs w:val="20"/>
        </w:rPr>
      </w:pPr>
      <w:r w:rsidRPr="005B7241">
        <w:rPr>
          <w:rFonts w:ascii="Times New Roman" w:hAnsi="Times New Roman"/>
          <w:sz w:val="20"/>
          <w:szCs w:val="20"/>
        </w:rPr>
        <w:t>Dayalbagh Educational Institute (Deemed University), Dayalbagh, Agra 282005, India</w:t>
      </w:r>
    </w:p>
    <w:p w:rsidR="00723B0F" w:rsidRPr="00B644C3" w:rsidRDefault="00723B0F" w:rsidP="00471D55">
      <w:pPr>
        <w:spacing w:line="360" w:lineRule="auto"/>
        <w:jc w:val="center"/>
        <w:rPr>
          <w:rFonts w:ascii="Times New Roman" w:hAnsi="Times New Roman"/>
          <w:b/>
          <w:sz w:val="24"/>
          <w:szCs w:val="24"/>
        </w:rPr>
      </w:pPr>
    </w:p>
    <w:p w:rsidR="003F535E" w:rsidRPr="00B644C3" w:rsidRDefault="00394684" w:rsidP="002F5476">
      <w:pPr>
        <w:autoSpaceDE w:val="0"/>
        <w:autoSpaceDN w:val="0"/>
        <w:adjustRightInd w:val="0"/>
        <w:spacing w:after="0" w:line="360" w:lineRule="auto"/>
        <w:ind w:firstLine="720"/>
        <w:jc w:val="both"/>
        <w:rPr>
          <w:rFonts w:ascii="Times New Roman" w:hAnsi="Times New Roman"/>
          <w:sz w:val="24"/>
          <w:szCs w:val="24"/>
        </w:rPr>
      </w:pPr>
      <w:r w:rsidRPr="00B644C3">
        <w:rPr>
          <w:rFonts w:ascii="Times New Roman" w:hAnsi="Times New Roman"/>
          <w:sz w:val="24"/>
          <w:szCs w:val="24"/>
        </w:rPr>
        <w:t xml:space="preserve">Promoters are specific sequence of </w:t>
      </w:r>
      <w:r w:rsidR="00034C0F" w:rsidRPr="00B644C3">
        <w:rPr>
          <w:rFonts w:ascii="Times New Roman" w:hAnsi="Times New Roman"/>
          <w:sz w:val="24"/>
          <w:szCs w:val="24"/>
        </w:rPr>
        <w:t xml:space="preserve">nucleotides </w:t>
      </w:r>
      <w:r w:rsidRPr="00B644C3">
        <w:rPr>
          <w:rFonts w:ascii="Times New Roman" w:hAnsi="Times New Roman"/>
          <w:sz w:val="24"/>
          <w:szCs w:val="24"/>
        </w:rPr>
        <w:t xml:space="preserve">present upstream of </w:t>
      </w:r>
      <w:r w:rsidR="0001431B" w:rsidRPr="00B644C3">
        <w:rPr>
          <w:rFonts w:ascii="Times New Roman" w:hAnsi="Times New Roman"/>
          <w:sz w:val="24"/>
          <w:szCs w:val="24"/>
        </w:rPr>
        <w:t>the gene coding region</w:t>
      </w:r>
      <w:r w:rsidR="003F535E" w:rsidRPr="00B644C3">
        <w:rPr>
          <w:rFonts w:ascii="Times New Roman" w:hAnsi="Times New Roman"/>
          <w:sz w:val="24"/>
          <w:szCs w:val="24"/>
        </w:rPr>
        <w:t>; comprises</w:t>
      </w:r>
      <w:r w:rsidRPr="00B644C3">
        <w:rPr>
          <w:rFonts w:ascii="Times New Roman" w:hAnsi="Times New Roman"/>
          <w:sz w:val="24"/>
          <w:szCs w:val="24"/>
        </w:rPr>
        <w:t xml:space="preserve"> of multiple cis-acting elements having specific binding for transcription factors which are involved in initiation and regulation of transcription. The basic strength of promoter </w:t>
      </w:r>
      <w:r w:rsidR="0001431B" w:rsidRPr="00B644C3">
        <w:rPr>
          <w:rFonts w:ascii="Times New Roman" w:hAnsi="Times New Roman"/>
          <w:sz w:val="24"/>
          <w:szCs w:val="24"/>
        </w:rPr>
        <w:t>lies</w:t>
      </w:r>
      <w:r w:rsidRPr="00B644C3">
        <w:rPr>
          <w:rFonts w:ascii="Times New Roman" w:hAnsi="Times New Roman"/>
          <w:sz w:val="24"/>
          <w:szCs w:val="24"/>
        </w:rPr>
        <w:t xml:space="preserve"> in </w:t>
      </w:r>
      <w:r w:rsidR="00F058BC" w:rsidRPr="00B644C3">
        <w:rPr>
          <w:rFonts w:ascii="Times New Roman" w:hAnsi="Times New Roman"/>
          <w:sz w:val="24"/>
          <w:szCs w:val="24"/>
        </w:rPr>
        <w:t xml:space="preserve">the </w:t>
      </w:r>
      <w:r w:rsidRPr="00B644C3">
        <w:rPr>
          <w:rFonts w:ascii="Times New Roman" w:hAnsi="Times New Roman"/>
          <w:sz w:val="24"/>
          <w:szCs w:val="24"/>
        </w:rPr>
        <w:t xml:space="preserve">notation and arrangement of </w:t>
      </w:r>
      <w:r w:rsidR="00BF6A94" w:rsidRPr="00B644C3">
        <w:rPr>
          <w:rFonts w:ascii="Times New Roman" w:hAnsi="Times New Roman"/>
          <w:sz w:val="24"/>
          <w:szCs w:val="24"/>
        </w:rPr>
        <w:t>the</w:t>
      </w:r>
      <w:r w:rsidR="0001431B" w:rsidRPr="00B644C3">
        <w:rPr>
          <w:rFonts w:ascii="Times New Roman" w:hAnsi="Times New Roman"/>
          <w:sz w:val="24"/>
          <w:szCs w:val="24"/>
        </w:rPr>
        <w:t>s</w:t>
      </w:r>
      <w:r w:rsidR="00BF6A94" w:rsidRPr="00B644C3">
        <w:rPr>
          <w:rFonts w:ascii="Times New Roman" w:hAnsi="Times New Roman"/>
          <w:sz w:val="24"/>
          <w:szCs w:val="24"/>
        </w:rPr>
        <w:t>e cis</w:t>
      </w:r>
      <w:r w:rsidRPr="00B644C3">
        <w:rPr>
          <w:rFonts w:ascii="Times New Roman" w:hAnsi="Times New Roman"/>
          <w:sz w:val="24"/>
          <w:szCs w:val="24"/>
        </w:rPr>
        <w:t>-acting elements</w:t>
      </w:r>
      <w:r w:rsidR="00BF6A94" w:rsidRPr="00B644C3">
        <w:rPr>
          <w:rFonts w:ascii="Times New Roman" w:hAnsi="Times New Roman"/>
          <w:sz w:val="24"/>
          <w:szCs w:val="24"/>
        </w:rPr>
        <w:t xml:space="preserve"> and their combinational interaction with transcription factor.</w:t>
      </w:r>
      <w:r w:rsidRPr="00B644C3">
        <w:rPr>
          <w:rFonts w:ascii="Times New Roman" w:hAnsi="Times New Roman"/>
          <w:sz w:val="24"/>
          <w:szCs w:val="24"/>
        </w:rPr>
        <w:t xml:space="preserve"> </w:t>
      </w:r>
      <w:r w:rsidR="00920D6E" w:rsidRPr="00B644C3">
        <w:rPr>
          <w:rFonts w:ascii="Times New Roman" w:hAnsi="Times New Roman"/>
          <w:sz w:val="24"/>
          <w:szCs w:val="24"/>
        </w:rPr>
        <w:t>Hereby-strong</w:t>
      </w:r>
      <w:r w:rsidR="00797E1C" w:rsidRPr="00B644C3">
        <w:rPr>
          <w:rFonts w:ascii="Times New Roman" w:hAnsi="Times New Roman"/>
          <w:sz w:val="24"/>
          <w:szCs w:val="24"/>
        </w:rPr>
        <w:t xml:space="preserve"> promoters can be developed by redesigning the</w:t>
      </w:r>
      <w:r w:rsidR="000F0584" w:rsidRPr="00B644C3">
        <w:rPr>
          <w:rFonts w:ascii="Times New Roman" w:hAnsi="Times New Roman"/>
          <w:sz w:val="24"/>
          <w:szCs w:val="24"/>
        </w:rPr>
        <w:t>ir</w:t>
      </w:r>
      <w:r w:rsidR="00797E1C" w:rsidRPr="00B644C3">
        <w:rPr>
          <w:rFonts w:ascii="Times New Roman" w:hAnsi="Times New Roman"/>
          <w:sz w:val="24"/>
          <w:szCs w:val="24"/>
        </w:rPr>
        <w:t xml:space="preserve"> architecture, which can be exploited for strong expression of ectopic gene</w:t>
      </w:r>
      <w:r w:rsidR="007E26E3" w:rsidRPr="00B644C3">
        <w:rPr>
          <w:rFonts w:ascii="Times New Roman" w:hAnsi="Times New Roman"/>
          <w:sz w:val="24"/>
          <w:szCs w:val="24"/>
        </w:rPr>
        <w:t xml:space="preserve">. In the present </w:t>
      </w:r>
      <w:r w:rsidR="0001431B" w:rsidRPr="00B644C3">
        <w:rPr>
          <w:rFonts w:ascii="Times New Roman" w:hAnsi="Times New Roman"/>
          <w:sz w:val="24"/>
          <w:szCs w:val="24"/>
        </w:rPr>
        <w:t>study, eight</w:t>
      </w:r>
      <w:r w:rsidR="007E26E3" w:rsidRPr="00B644C3">
        <w:rPr>
          <w:rFonts w:ascii="Times New Roman" w:hAnsi="Times New Roman"/>
          <w:sz w:val="24"/>
          <w:szCs w:val="24"/>
        </w:rPr>
        <w:t xml:space="preserve"> chimeric promoters were synthesized by using the two </w:t>
      </w:r>
      <w:r w:rsidR="00920D6E" w:rsidRPr="00B644C3">
        <w:rPr>
          <w:rFonts w:ascii="Times New Roman" w:hAnsi="Times New Roman"/>
          <w:sz w:val="24"/>
          <w:szCs w:val="24"/>
        </w:rPr>
        <w:t>well-established</w:t>
      </w:r>
      <w:r w:rsidR="007E26E3" w:rsidRPr="00B644C3">
        <w:rPr>
          <w:rFonts w:ascii="Times New Roman" w:hAnsi="Times New Roman"/>
          <w:sz w:val="24"/>
          <w:szCs w:val="24"/>
        </w:rPr>
        <w:t xml:space="preserve"> approaches: domain swapping and hybridization. Promoters </w:t>
      </w:r>
      <w:r w:rsidR="003F535E" w:rsidRPr="00B644C3">
        <w:rPr>
          <w:rFonts w:ascii="Times New Roman" w:hAnsi="Times New Roman"/>
          <w:sz w:val="24"/>
          <w:szCs w:val="24"/>
        </w:rPr>
        <w:t xml:space="preserve">from </w:t>
      </w:r>
      <w:r w:rsidR="003F535E" w:rsidRPr="00B644C3">
        <w:rPr>
          <w:rFonts w:ascii="Times New Roman" w:hAnsi="Times New Roman"/>
          <w:i/>
          <w:sz w:val="24"/>
          <w:szCs w:val="24"/>
        </w:rPr>
        <w:t>Rice</w:t>
      </w:r>
      <w:r w:rsidR="007E26E3" w:rsidRPr="00B644C3">
        <w:rPr>
          <w:rFonts w:ascii="Times New Roman" w:hAnsi="Times New Roman"/>
          <w:i/>
          <w:sz w:val="24"/>
          <w:szCs w:val="24"/>
        </w:rPr>
        <w:t xml:space="preserve"> Tungro Bacillus Virus</w:t>
      </w:r>
      <w:r w:rsidR="00282FEE" w:rsidRPr="00B644C3">
        <w:rPr>
          <w:rFonts w:ascii="Times New Roman" w:hAnsi="Times New Roman"/>
          <w:sz w:val="24"/>
          <w:szCs w:val="24"/>
        </w:rPr>
        <w:t xml:space="preserve"> (RTBV)</w:t>
      </w:r>
      <w:r w:rsidR="001D3326">
        <w:rPr>
          <w:rFonts w:ascii="Times New Roman" w:hAnsi="Times New Roman"/>
          <w:sz w:val="24"/>
          <w:szCs w:val="24"/>
        </w:rPr>
        <w:t xml:space="preserve"> </w:t>
      </w:r>
      <w:r w:rsidR="007E26E3" w:rsidRPr="00B644C3">
        <w:rPr>
          <w:rFonts w:ascii="Times New Roman" w:hAnsi="Times New Roman"/>
          <w:i/>
          <w:sz w:val="24"/>
          <w:szCs w:val="24"/>
        </w:rPr>
        <w:t>and Mirabilis Mosaic Virus</w:t>
      </w:r>
      <w:r w:rsidR="002F5476" w:rsidRPr="00B644C3">
        <w:rPr>
          <w:rFonts w:ascii="Times New Roman" w:hAnsi="Times New Roman"/>
          <w:sz w:val="24"/>
          <w:szCs w:val="24"/>
        </w:rPr>
        <w:t xml:space="preserve"> (</w:t>
      </w:r>
      <w:r w:rsidR="00282FEE" w:rsidRPr="00B644C3">
        <w:rPr>
          <w:rFonts w:ascii="Times New Roman" w:hAnsi="Times New Roman"/>
          <w:sz w:val="24"/>
          <w:szCs w:val="24"/>
        </w:rPr>
        <w:t xml:space="preserve">MMV12) </w:t>
      </w:r>
      <w:r w:rsidR="00BF6A94" w:rsidRPr="00B644C3">
        <w:rPr>
          <w:rFonts w:ascii="Times New Roman" w:hAnsi="Times New Roman"/>
          <w:sz w:val="24"/>
          <w:szCs w:val="24"/>
        </w:rPr>
        <w:t>were u</w:t>
      </w:r>
      <w:r w:rsidR="007E26E3" w:rsidRPr="00B644C3">
        <w:rPr>
          <w:rFonts w:ascii="Times New Roman" w:hAnsi="Times New Roman"/>
          <w:sz w:val="24"/>
          <w:szCs w:val="24"/>
        </w:rPr>
        <w:t xml:space="preserve">sed </w:t>
      </w:r>
      <w:r w:rsidR="000F0584" w:rsidRPr="00B644C3">
        <w:rPr>
          <w:rFonts w:ascii="Times New Roman" w:hAnsi="Times New Roman"/>
          <w:sz w:val="24"/>
          <w:szCs w:val="24"/>
        </w:rPr>
        <w:t>as parents</w:t>
      </w:r>
      <w:r w:rsidR="007E26E3" w:rsidRPr="00B644C3">
        <w:rPr>
          <w:rFonts w:ascii="Times New Roman" w:hAnsi="Times New Roman"/>
          <w:sz w:val="24"/>
          <w:szCs w:val="24"/>
        </w:rPr>
        <w:t xml:space="preserve"> for </w:t>
      </w:r>
      <w:r w:rsidR="003F535E" w:rsidRPr="00B644C3">
        <w:rPr>
          <w:rFonts w:ascii="Times New Roman" w:hAnsi="Times New Roman"/>
          <w:sz w:val="24"/>
          <w:szCs w:val="24"/>
        </w:rPr>
        <w:t xml:space="preserve">the </w:t>
      </w:r>
      <w:r w:rsidR="007E26E3" w:rsidRPr="00B644C3">
        <w:rPr>
          <w:rFonts w:ascii="Times New Roman" w:hAnsi="Times New Roman"/>
          <w:sz w:val="24"/>
          <w:szCs w:val="24"/>
        </w:rPr>
        <w:t>development of these chimeric promoters</w:t>
      </w:r>
      <w:r w:rsidR="004E33BA" w:rsidRPr="00B644C3">
        <w:rPr>
          <w:rFonts w:ascii="Times New Roman" w:hAnsi="Times New Roman"/>
          <w:sz w:val="24"/>
          <w:szCs w:val="24"/>
        </w:rPr>
        <w:t xml:space="preserve">. All the developed promoters </w:t>
      </w:r>
      <w:r w:rsidR="00BF6A94" w:rsidRPr="00B644C3">
        <w:rPr>
          <w:rFonts w:ascii="Times New Roman" w:hAnsi="Times New Roman"/>
          <w:sz w:val="24"/>
          <w:szCs w:val="24"/>
        </w:rPr>
        <w:t xml:space="preserve">were </w:t>
      </w:r>
      <w:r w:rsidR="004E33BA" w:rsidRPr="00B644C3">
        <w:rPr>
          <w:rFonts w:ascii="Times New Roman" w:hAnsi="Times New Roman"/>
          <w:sz w:val="24"/>
          <w:szCs w:val="24"/>
        </w:rPr>
        <w:t xml:space="preserve">cloned upstream of </w:t>
      </w:r>
      <w:r w:rsidR="00AA7493" w:rsidRPr="00B644C3">
        <w:rPr>
          <w:rFonts w:ascii="Times New Roman" w:hAnsi="Times New Roman"/>
          <w:sz w:val="24"/>
          <w:szCs w:val="24"/>
        </w:rPr>
        <w:t>a GUS</w:t>
      </w:r>
      <w:r w:rsidR="004E33BA" w:rsidRPr="00B644C3">
        <w:rPr>
          <w:rFonts w:ascii="Times New Roman" w:hAnsi="Times New Roman"/>
          <w:sz w:val="24"/>
          <w:szCs w:val="24"/>
        </w:rPr>
        <w:t xml:space="preserve"> reporter gene and their efficacy was tested by transient as well as transgenic assay. Gus assay of elect</w:t>
      </w:r>
      <w:r w:rsidR="00BF6A94" w:rsidRPr="00B644C3">
        <w:rPr>
          <w:rFonts w:ascii="Times New Roman" w:hAnsi="Times New Roman"/>
          <w:sz w:val="24"/>
          <w:szCs w:val="24"/>
        </w:rPr>
        <w:t>r</w:t>
      </w:r>
      <w:r w:rsidR="004E33BA" w:rsidRPr="00B644C3">
        <w:rPr>
          <w:rFonts w:ascii="Times New Roman" w:hAnsi="Times New Roman"/>
          <w:sz w:val="24"/>
          <w:szCs w:val="24"/>
        </w:rPr>
        <w:t>op</w:t>
      </w:r>
      <w:r w:rsidR="00BF6A94" w:rsidRPr="00B644C3">
        <w:rPr>
          <w:rFonts w:ascii="Times New Roman" w:hAnsi="Times New Roman"/>
          <w:sz w:val="24"/>
          <w:szCs w:val="24"/>
        </w:rPr>
        <w:t>o</w:t>
      </w:r>
      <w:r w:rsidR="004E33BA" w:rsidRPr="00B644C3">
        <w:rPr>
          <w:rFonts w:ascii="Times New Roman" w:hAnsi="Times New Roman"/>
          <w:sz w:val="24"/>
          <w:szCs w:val="24"/>
        </w:rPr>
        <w:t>rated tobacco protoplast and agro</w:t>
      </w:r>
      <w:r w:rsidR="000F0584" w:rsidRPr="00B644C3">
        <w:rPr>
          <w:rFonts w:ascii="Times New Roman" w:hAnsi="Times New Roman"/>
          <w:sz w:val="24"/>
          <w:szCs w:val="24"/>
        </w:rPr>
        <w:t>-</w:t>
      </w:r>
      <w:r w:rsidR="004E33BA" w:rsidRPr="00B644C3">
        <w:rPr>
          <w:rFonts w:ascii="Times New Roman" w:hAnsi="Times New Roman"/>
          <w:sz w:val="24"/>
          <w:szCs w:val="24"/>
        </w:rPr>
        <w:t>infilterated tobacco, petunia, rice and millets was performed for transient expression studies. Transgenic lines of tobacco were generated at T</w:t>
      </w:r>
      <w:r w:rsidR="004E33BA" w:rsidRPr="00B644C3">
        <w:rPr>
          <w:rFonts w:ascii="Times New Roman" w:hAnsi="Times New Roman"/>
          <w:sz w:val="24"/>
          <w:szCs w:val="24"/>
          <w:vertAlign w:val="subscript"/>
        </w:rPr>
        <w:t>0</w:t>
      </w:r>
      <w:r w:rsidR="004E33BA" w:rsidRPr="00B644C3">
        <w:rPr>
          <w:rFonts w:ascii="Times New Roman" w:hAnsi="Times New Roman"/>
          <w:sz w:val="24"/>
          <w:szCs w:val="24"/>
        </w:rPr>
        <w:t xml:space="preserve"> stage for the expression profiling of developed promoters.</w:t>
      </w:r>
      <w:r w:rsidR="00282FEE" w:rsidRPr="00B644C3">
        <w:rPr>
          <w:rFonts w:ascii="Times New Roman" w:hAnsi="Times New Roman"/>
          <w:sz w:val="24"/>
          <w:szCs w:val="24"/>
        </w:rPr>
        <w:t xml:space="preserve"> </w:t>
      </w:r>
      <w:r w:rsidR="007668EA">
        <w:rPr>
          <w:rFonts w:ascii="Times New Roman" w:hAnsi="Times New Roman"/>
          <w:sz w:val="24"/>
          <w:szCs w:val="24"/>
        </w:rPr>
        <w:t>T</w:t>
      </w:r>
      <w:r w:rsidR="00282FEE" w:rsidRPr="00B644C3">
        <w:rPr>
          <w:rFonts w:ascii="Times New Roman" w:hAnsi="Times New Roman"/>
          <w:sz w:val="24"/>
          <w:szCs w:val="24"/>
        </w:rPr>
        <w:t xml:space="preserve">he expression profiling </w:t>
      </w:r>
      <w:r w:rsidR="007668EA">
        <w:rPr>
          <w:rFonts w:ascii="Times New Roman" w:hAnsi="Times New Roman"/>
          <w:sz w:val="24"/>
          <w:szCs w:val="24"/>
        </w:rPr>
        <w:t xml:space="preserve">at </w:t>
      </w:r>
      <w:r w:rsidR="000F0584" w:rsidRPr="00B644C3">
        <w:rPr>
          <w:rFonts w:ascii="Times New Roman" w:hAnsi="Times New Roman"/>
          <w:sz w:val="24"/>
          <w:szCs w:val="24"/>
        </w:rPr>
        <w:t>b</w:t>
      </w:r>
      <w:r w:rsidR="003F535E" w:rsidRPr="00B644C3">
        <w:rPr>
          <w:rFonts w:ascii="Times New Roman" w:hAnsi="Times New Roman"/>
          <w:sz w:val="24"/>
          <w:szCs w:val="24"/>
        </w:rPr>
        <w:t>iochemical</w:t>
      </w:r>
      <w:r w:rsidR="00282FEE" w:rsidRPr="00B644C3">
        <w:rPr>
          <w:rFonts w:ascii="Times New Roman" w:hAnsi="Times New Roman"/>
          <w:sz w:val="24"/>
          <w:szCs w:val="24"/>
        </w:rPr>
        <w:t xml:space="preserve">, </w:t>
      </w:r>
      <w:proofErr w:type="spellStart"/>
      <w:r w:rsidR="00282FEE" w:rsidRPr="00B644C3">
        <w:rPr>
          <w:rFonts w:ascii="Times New Roman" w:hAnsi="Times New Roman"/>
          <w:sz w:val="24"/>
          <w:szCs w:val="24"/>
        </w:rPr>
        <w:t>histo</w:t>
      </w:r>
      <w:proofErr w:type="spellEnd"/>
      <w:r w:rsidR="000F0584" w:rsidRPr="00B644C3">
        <w:rPr>
          <w:rFonts w:ascii="Times New Roman" w:hAnsi="Times New Roman"/>
          <w:sz w:val="24"/>
          <w:szCs w:val="24"/>
        </w:rPr>
        <w:t>-</w:t>
      </w:r>
      <w:r w:rsidR="00282FEE" w:rsidRPr="00B644C3">
        <w:rPr>
          <w:rFonts w:ascii="Times New Roman" w:hAnsi="Times New Roman"/>
          <w:sz w:val="24"/>
          <w:szCs w:val="24"/>
        </w:rPr>
        <w:t xml:space="preserve">chemical and </w:t>
      </w:r>
      <w:r w:rsidR="003F535E" w:rsidRPr="00B644C3">
        <w:rPr>
          <w:rFonts w:ascii="Times New Roman" w:hAnsi="Times New Roman"/>
          <w:sz w:val="24"/>
          <w:szCs w:val="24"/>
        </w:rPr>
        <w:t xml:space="preserve">molecular level, </w:t>
      </w:r>
      <w:r w:rsidR="007668EA">
        <w:rPr>
          <w:rFonts w:ascii="Times New Roman" w:hAnsi="Times New Roman"/>
          <w:sz w:val="24"/>
          <w:szCs w:val="24"/>
        </w:rPr>
        <w:t xml:space="preserve">had shown that </w:t>
      </w:r>
      <w:smartTag w:uri="urn:schemas-microsoft-com:office:smarttags" w:element="stockticker">
        <w:r w:rsidR="006F19C0" w:rsidRPr="00B644C3">
          <w:rPr>
            <w:rFonts w:ascii="Times New Roman" w:hAnsi="Times New Roman"/>
            <w:sz w:val="24"/>
            <w:szCs w:val="24"/>
          </w:rPr>
          <w:t>REM</w:t>
        </w:r>
      </w:smartTag>
      <w:r w:rsidR="006F19C0" w:rsidRPr="00B644C3">
        <w:rPr>
          <w:rFonts w:ascii="Times New Roman" w:hAnsi="Times New Roman"/>
          <w:sz w:val="24"/>
          <w:szCs w:val="24"/>
        </w:rPr>
        <w:t xml:space="preserve"> and </w:t>
      </w:r>
      <w:proofErr w:type="gramStart"/>
      <w:r w:rsidR="006F19C0" w:rsidRPr="00B644C3">
        <w:rPr>
          <w:rFonts w:ascii="Times New Roman" w:hAnsi="Times New Roman"/>
          <w:sz w:val="24"/>
          <w:szCs w:val="24"/>
        </w:rPr>
        <w:t>RTBVP1MMV1</w:t>
      </w:r>
      <w:r w:rsidR="00282FEE" w:rsidRPr="00B644C3">
        <w:rPr>
          <w:rFonts w:ascii="Times New Roman" w:hAnsi="Times New Roman"/>
          <w:sz w:val="24"/>
          <w:szCs w:val="24"/>
        </w:rPr>
        <w:t xml:space="preserve">2  </w:t>
      </w:r>
      <w:r w:rsidR="007668EA">
        <w:rPr>
          <w:rFonts w:ascii="Times New Roman" w:hAnsi="Times New Roman"/>
          <w:sz w:val="24"/>
          <w:szCs w:val="24"/>
        </w:rPr>
        <w:t>were</w:t>
      </w:r>
      <w:proofErr w:type="gramEnd"/>
      <w:r w:rsidR="007668EA">
        <w:rPr>
          <w:rFonts w:ascii="Times New Roman" w:hAnsi="Times New Roman"/>
          <w:sz w:val="24"/>
          <w:szCs w:val="24"/>
        </w:rPr>
        <w:t xml:space="preserve"> highly efficient in regulation of reporter gene expression</w:t>
      </w:r>
      <w:r w:rsidR="00282FEE" w:rsidRPr="00B644C3">
        <w:rPr>
          <w:rFonts w:ascii="Times New Roman" w:hAnsi="Times New Roman"/>
          <w:sz w:val="24"/>
          <w:szCs w:val="24"/>
        </w:rPr>
        <w:t xml:space="preserve">. </w:t>
      </w:r>
      <w:r w:rsidR="002F5476" w:rsidRPr="00B644C3">
        <w:rPr>
          <w:rFonts w:ascii="Times New Roman" w:hAnsi="Times New Roman"/>
          <w:sz w:val="24"/>
          <w:szCs w:val="24"/>
        </w:rPr>
        <w:t>On comparing these developed promoters with the most widely used promoter CaMV 35S, 0.87 and 0.68 fold increase in expression was found in REM and RTBVP1MMV12  respectively in dicots while in monocots 0.98 increase was found in RTBVP1MMV12</w:t>
      </w:r>
      <w:r w:rsidR="006F19C0" w:rsidRPr="00B644C3">
        <w:rPr>
          <w:rFonts w:ascii="Times New Roman" w:hAnsi="Times New Roman"/>
          <w:sz w:val="24"/>
          <w:szCs w:val="24"/>
        </w:rPr>
        <w:t xml:space="preserve">. </w:t>
      </w:r>
      <w:r w:rsidR="003F535E" w:rsidRPr="00B644C3">
        <w:rPr>
          <w:rFonts w:ascii="Times New Roman" w:hAnsi="Times New Roman"/>
          <w:sz w:val="24"/>
          <w:szCs w:val="24"/>
        </w:rPr>
        <w:t xml:space="preserve">From the obtained </w:t>
      </w:r>
      <w:r w:rsidR="00BF6A94" w:rsidRPr="00B644C3">
        <w:rPr>
          <w:rFonts w:ascii="Times New Roman" w:hAnsi="Times New Roman"/>
          <w:sz w:val="24"/>
          <w:szCs w:val="24"/>
        </w:rPr>
        <w:t xml:space="preserve">results it might be </w:t>
      </w:r>
      <w:r w:rsidR="003F535E" w:rsidRPr="00B644C3">
        <w:rPr>
          <w:rFonts w:ascii="Times New Roman" w:hAnsi="Times New Roman"/>
          <w:sz w:val="24"/>
          <w:szCs w:val="24"/>
        </w:rPr>
        <w:t>conclude</w:t>
      </w:r>
      <w:r w:rsidR="00BF6A94" w:rsidRPr="00B644C3">
        <w:rPr>
          <w:rFonts w:ascii="Times New Roman" w:hAnsi="Times New Roman"/>
          <w:sz w:val="24"/>
          <w:szCs w:val="24"/>
        </w:rPr>
        <w:t>d</w:t>
      </w:r>
      <w:r w:rsidR="003F535E" w:rsidRPr="00B644C3">
        <w:rPr>
          <w:rFonts w:ascii="Times New Roman" w:hAnsi="Times New Roman"/>
          <w:sz w:val="24"/>
          <w:szCs w:val="24"/>
        </w:rPr>
        <w:t xml:space="preserve"> that </w:t>
      </w:r>
      <w:r w:rsidR="00BF6A94" w:rsidRPr="00B644C3">
        <w:rPr>
          <w:rFonts w:ascii="Times New Roman" w:hAnsi="Times New Roman"/>
          <w:sz w:val="24"/>
          <w:szCs w:val="24"/>
        </w:rPr>
        <w:t>we</w:t>
      </w:r>
      <w:r w:rsidR="003F535E" w:rsidRPr="00B644C3">
        <w:rPr>
          <w:rFonts w:ascii="Times New Roman" w:hAnsi="Times New Roman"/>
          <w:sz w:val="24"/>
          <w:szCs w:val="24"/>
        </w:rPr>
        <w:t xml:space="preserve"> </w:t>
      </w:r>
      <w:r w:rsidR="002F5476" w:rsidRPr="00B644C3">
        <w:rPr>
          <w:rFonts w:ascii="Times New Roman" w:hAnsi="Times New Roman"/>
          <w:sz w:val="24"/>
          <w:szCs w:val="24"/>
        </w:rPr>
        <w:t xml:space="preserve">had </w:t>
      </w:r>
      <w:r w:rsidR="003F535E" w:rsidRPr="00B644C3">
        <w:rPr>
          <w:rFonts w:ascii="Times New Roman" w:hAnsi="Times New Roman"/>
          <w:sz w:val="24"/>
          <w:szCs w:val="24"/>
        </w:rPr>
        <w:t xml:space="preserve">developed promoter can be efficiently used for translational research in plants and can </w:t>
      </w:r>
      <w:r w:rsidR="00F058BC" w:rsidRPr="00B644C3">
        <w:rPr>
          <w:rFonts w:ascii="Times New Roman" w:hAnsi="Times New Roman"/>
          <w:sz w:val="24"/>
          <w:szCs w:val="24"/>
        </w:rPr>
        <w:t>pave</w:t>
      </w:r>
      <w:r w:rsidR="003F535E" w:rsidRPr="00B644C3">
        <w:rPr>
          <w:rFonts w:ascii="Times New Roman" w:hAnsi="Times New Roman"/>
          <w:sz w:val="24"/>
          <w:szCs w:val="24"/>
        </w:rPr>
        <w:t xml:space="preserve"> the way off for plant biotech industries.</w:t>
      </w:r>
      <w:bookmarkStart w:id="0" w:name="_GoBack"/>
      <w:bookmarkEnd w:id="0"/>
    </w:p>
    <w:p w:rsidR="004E33BA" w:rsidRPr="00B644C3" w:rsidRDefault="004E33BA" w:rsidP="00471D55">
      <w:pPr>
        <w:autoSpaceDE w:val="0"/>
        <w:autoSpaceDN w:val="0"/>
        <w:adjustRightInd w:val="0"/>
        <w:spacing w:after="0" w:line="360" w:lineRule="auto"/>
        <w:jc w:val="both"/>
        <w:rPr>
          <w:rFonts w:ascii="Times New Roman" w:hAnsi="Times New Roman"/>
          <w:sz w:val="24"/>
          <w:szCs w:val="24"/>
        </w:rPr>
      </w:pPr>
    </w:p>
    <w:sectPr w:rsidR="004E33BA" w:rsidRPr="00B644C3" w:rsidSect="00A829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B0F"/>
    <w:rsid w:val="0001431B"/>
    <w:rsid w:val="000310DE"/>
    <w:rsid w:val="00034C0F"/>
    <w:rsid w:val="000F0584"/>
    <w:rsid w:val="001A117C"/>
    <w:rsid w:val="001D3326"/>
    <w:rsid w:val="001E382C"/>
    <w:rsid w:val="00221FA4"/>
    <w:rsid w:val="00272B23"/>
    <w:rsid w:val="00282FEE"/>
    <w:rsid w:val="002F5476"/>
    <w:rsid w:val="00394684"/>
    <w:rsid w:val="003F535E"/>
    <w:rsid w:val="00471D55"/>
    <w:rsid w:val="004E33BA"/>
    <w:rsid w:val="005B7241"/>
    <w:rsid w:val="00637A97"/>
    <w:rsid w:val="006F19C0"/>
    <w:rsid w:val="00723B0F"/>
    <w:rsid w:val="00765C81"/>
    <w:rsid w:val="007668EA"/>
    <w:rsid w:val="00797E1C"/>
    <w:rsid w:val="007E26E3"/>
    <w:rsid w:val="008427DB"/>
    <w:rsid w:val="00920D6E"/>
    <w:rsid w:val="00952277"/>
    <w:rsid w:val="00A43A7C"/>
    <w:rsid w:val="00A8293C"/>
    <w:rsid w:val="00AA7493"/>
    <w:rsid w:val="00B644C3"/>
    <w:rsid w:val="00BF6A94"/>
    <w:rsid w:val="00E00089"/>
    <w:rsid w:val="00F0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7DB"/>
  </w:style>
  <w:style w:type="paragraph" w:styleId="Heading1">
    <w:name w:val="heading 1"/>
    <w:basedOn w:val="Normal"/>
    <w:next w:val="Normal"/>
    <w:link w:val="Heading1Char"/>
    <w:uiPriority w:val="9"/>
    <w:qFormat/>
    <w:rsid w:val="007668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27DB"/>
    <w:pPr>
      <w:ind w:left="720"/>
    </w:pPr>
  </w:style>
  <w:style w:type="character" w:customStyle="1" w:styleId="Heading1Char">
    <w:name w:val="Heading 1 Char"/>
    <w:basedOn w:val="DefaultParagraphFont"/>
    <w:link w:val="Heading1"/>
    <w:uiPriority w:val="9"/>
    <w:rsid w:val="007668E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7DB"/>
  </w:style>
  <w:style w:type="paragraph" w:styleId="Heading1">
    <w:name w:val="heading 1"/>
    <w:basedOn w:val="Normal"/>
    <w:next w:val="Normal"/>
    <w:link w:val="Heading1Char"/>
    <w:uiPriority w:val="9"/>
    <w:qFormat/>
    <w:rsid w:val="007668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27DB"/>
    <w:pPr>
      <w:ind w:left="720"/>
    </w:pPr>
  </w:style>
  <w:style w:type="character" w:customStyle="1" w:styleId="Heading1Char">
    <w:name w:val="Heading 1 Char"/>
    <w:basedOn w:val="DefaultParagraphFont"/>
    <w:link w:val="Heading1"/>
    <w:uiPriority w:val="9"/>
    <w:rsid w:val="007668E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571C898-DC63-4478-AD4D-5006E580D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2019-05-08T13:20:00Z</dcterms:created>
  <dcterms:modified xsi:type="dcterms:W3CDTF">2019-05-08T13:20:00Z</dcterms:modified>
</cp:coreProperties>
</file>