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C06" w:rsidRPr="00C12C06" w:rsidRDefault="006C4570" w:rsidP="00C12C06">
      <w:pPr>
        <w:spacing w:line="240" w:lineRule="auto"/>
        <w:jc w:val="left"/>
        <w:rPr>
          <w:rFonts w:ascii="Arial" w:eastAsia="Times New Roman" w:hAnsi="Arial" w:cs="Arial"/>
          <w:b/>
          <w:szCs w:val="24"/>
          <w:lang w:val="en-GB"/>
        </w:rPr>
      </w:pPr>
      <w:r w:rsidRPr="00C12C06">
        <w:rPr>
          <w:rFonts w:ascii="Arial" w:eastAsia="Times New Roman" w:hAnsi="Arial" w:cs="Arial"/>
          <w:b/>
          <w:szCs w:val="24"/>
          <w:lang w:val="en-GB"/>
        </w:rPr>
        <w:t xml:space="preserve">Characterisation of R-QTL for </w:t>
      </w:r>
      <w:proofErr w:type="spellStart"/>
      <w:r w:rsidRPr="00C12C06">
        <w:rPr>
          <w:rFonts w:ascii="Arial" w:eastAsia="Times New Roman" w:hAnsi="Arial" w:cs="Arial"/>
          <w:b/>
          <w:i/>
          <w:iCs/>
          <w:szCs w:val="24"/>
          <w:lang w:val="en-GB"/>
        </w:rPr>
        <w:t>Ascochyta</w:t>
      </w:r>
      <w:proofErr w:type="spellEnd"/>
      <w:r w:rsidRPr="00C12C06">
        <w:rPr>
          <w:rFonts w:ascii="Arial" w:eastAsia="Times New Roman" w:hAnsi="Arial" w:cs="Arial"/>
          <w:b/>
          <w:i/>
          <w:iCs/>
          <w:szCs w:val="24"/>
          <w:lang w:val="en-GB"/>
        </w:rPr>
        <w:t xml:space="preserve"> </w:t>
      </w:r>
      <w:proofErr w:type="spellStart"/>
      <w:r w:rsidRPr="00C12C06">
        <w:rPr>
          <w:rFonts w:ascii="Arial" w:eastAsia="Times New Roman" w:hAnsi="Arial" w:cs="Arial"/>
          <w:b/>
          <w:i/>
          <w:iCs/>
          <w:szCs w:val="24"/>
          <w:lang w:val="en-GB"/>
        </w:rPr>
        <w:t>lentis</w:t>
      </w:r>
      <w:proofErr w:type="spellEnd"/>
      <w:r w:rsidRPr="00C12C06">
        <w:rPr>
          <w:rFonts w:ascii="Arial" w:eastAsia="Times New Roman" w:hAnsi="Arial" w:cs="Arial"/>
          <w:b/>
          <w:szCs w:val="24"/>
          <w:lang w:val="en-GB"/>
        </w:rPr>
        <w:t xml:space="preserve"> resistance in lentil and identification of candidate defence-transcripts</w:t>
      </w:r>
    </w:p>
    <w:p w:rsidR="00C12C06" w:rsidRPr="009C4E70" w:rsidRDefault="00C12C06" w:rsidP="00C12C06">
      <w:pPr>
        <w:pStyle w:val="NoSpacing"/>
        <w:rPr>
          <w:rFonts w:ascii="Arial" w:hAnsi="Arial" w:cs="Arial"/>
          <w:sz w:val="24"/>
          <w:szCs w:val="24"/>
        </w:rPr>
      </w:pPr>
      <w:proofErr w:type="spellStart"/>
      <w:r>
        <w:rPr>
          <w:rFonts w:ascii="Arial" w:hAnsi="Arial" w:cs="Arial"/>
          <w:sz w:val="24"/>
          <w:szCs w:val="24"/>
          <w:u w:val="single"/>
        </w:rPr>
        <w:t>Khorramdelazad</w:t>
      </w:r>
      <w:proofErr w:type="spellEnd"/>
      <w:r>
        <w:rPr>
          <w:rFonts w:ascii="Arial" w:hAnsi="Arial" w:cs="Arial"/>
          <w:sz w:val="24"/>
          <w:szCs w:val="24"/>
          <w:u w:val="single"/>
        </w:rPr>
        <w:t xml:space="preserve"> </w:t>
      </w:r>
      <w:r w:rsidRPr="00C12C06">
        <w:rPr>
          <w:rFonts w:ascii="Arial" w:hAnsi="Arial" w:cs="Arial"/>
          <w:sz w:val="24"/>
          <w:szCs w:val="24"/>
          <w:u w:val="single"/>
        </w:rPr>
        <w:t>M</w:t>
      </w:r>
      <w:r>
        <w:rPr>
          <w:rFonts w:ascii="Arial" w:hAnsi="Arial" w:cs="Arial"/>
          <w:sz w:val="24"/>
          <w:szCs w:val="24"/>
          <w:u w:val="single"/>
        </w:rPr>
        <w:t>.</w:t>
      </w:r>
      <w:r w:rsidRPr="00C12C06">
        <w:rPr>
          <w:rFonts w:ascii="Arial" w:hAnsi="Arial" w:cs="Arial"/>
          <w:sz w:val="24"/>
          <w:szCs w:val="24"/>
          <w:u w:val="single"/>
          <w:vertAlign w:val="superscript"/>
        </w:rPr>
        <w:t>1</w:t>
      </w:r>
      <w:r w:rsidRPr="00C12C06">
        <w:rPr>
          <w:rFonts w:ascii="Arial" w:hAnsi="Arial" w:cs="Arial"/>
          <w:sz w:val="24"/>
          <w:szCs w:val="24"/>
          <w:vertAlign w:val="superscript"/>
        </w:rPr>
        <w:t>*</w:t>
      </w:r>
      <w:r>
        <w:rPr>
          <w:rFonts w:ascii="Arial" w:hAnsi="Arial" w:cs="Arial"/>
          <w:sz w:val="24"/>
          <w:szCs w:val="24"/>
        </w:rPr>
        <w:t xml:space="preserve">, </w:t>
      </w:r>
      <w:r w:rsidRPr="00C12C06">
        <w:rPr>
          <w:rFonts w:ascii="Arial" w:hAnsi="Arial" w:cs="Arial"/>
          <w:sz w:val="24"/>
          <w:szCs w:val="24"/>
        </w:rPr>
        <w:t>Bar I.</w:t>
      </w:r>
      <w:r w:rsidRPr="00C12C06">
        <w:rPr>
          <w:rFonts w:ascii="Arial" w:hAnsi="Arial" w:cs="Arial"/>
          <w:sz w:val="24"/>
          <w:szCs w:val="24"/>
          <w:vertAlign w:val="superscript"/>
        </w:rPr>
        <w:t>1</w:t>
      </w:r>
      <w:r w:rsidRPr="009C4E70">
        <w:rPr>
          <w:rFonts w:ascii="Arial" w:hAnsi="Arial" w:cs="Arial"/>
          <w:sz w:val="24"/>
          <w:szCs w:val="24"/>
        </w:rPr>
        <w:t xml:space="preserve">, </w:t>
      </w:r>
      <w:r>
        <w:rPr>
          <w:rFonts w:ascii="Arial" w:hAnsi="Arial" w:cs="Arial"/>
          <w:sz w:val="24"/>
          <w:szCs w:val="24"/>
          <w:lang w:val="en-GB"/>
        </w:rPr>
        <w:t>Lee R</w:t>
      </w:r>
      <w:r>
        <w:rPr>
          <w:rFonts w:ascii="Arial" w:hAnsi="Arial" w:cs="Arial"/>
          <w:sz w:val="24"/>
          <w:szCs w:val="24"/>
          <w:lang w:val="en-GB"/>
        </w:rPr>
        <w:t>.</w:t>
      </w:r>
      <w:r>
        <w:rPr>
          <w:rFonts w:ascii="Arial" w:hAnsi="Arial" w:cs="Arial"/>
          <w:sz w:val="24"/>
          <w:szCs w:val="24"/>
          <w:vertAlign w:val="superscript"/>
        </w:rPr>
        <w:t>2</w:t>
      </w:r>
      <w:r w:rsidRPr="009C4E70">
        <w:rPr>
          <w:rFonts w:ascii="Arial" w:hAnsi="Arial" w:cs="Arial"/>
          <w:sz w:val="24"/>
          <w:szCs w:val="24"/>
        </w:rPr>
        <w:t xml:space="preserve">, </w:t>
      </w:r>
      <w:r>
        <w:rPr>
          <w:rFonts w:ascii="Arial" w:hAnsi="Arial" w:cs="Arial"/>
          <w:sz w:val="24"/>
          <w:szCs w:val="24"/>
        </w:rPr>
        <w:t>Ford R.</w:t>
      </w:r>
      <w:r w:rsidRPr="009C4E70">
        <w:rPr>
          <w:rFonts w:ascii="Arial" w:hAnsi="Arial" w:cs="Arial"/>
          <w:sz w:val="24"/>
          <w:szCs w:val="24"/>
          <w:vertAlign w:val="superscript"/>
        </w:rPr>
        <w:t>1</w:t>
      </w:r>
    </w:p>
    <w:p w:rsidR="00C12C06" w:rsidRPr="009C4E70" w:rsidRDefault="00C12C06" w:rsidP="00C12C06">
      <w:pPr>
        <w:pStyle w:val="NoSpacing"/>
        <w:rPr>
          <w:rFonts w:ascii="Arial" w:hAnsi="Arial" w:cs="Arial"/>
          <w:sz w:val="24"/>
          <w:szCs w:val="24"/>
        </w:rPr>
      </w:pPr>
    </w:p>
    <w:p w:rsidR="00C12C06" w:rsidRDefault="00C12C06" w:rsidP="00C12C06">
      <w:pPr>
        <w:spacing w:after="0" w:line="240" w:lineRule="auto"/>
        <w:rPr>
          <w:rFonts w:ascii="Arial" w:hAnsi="Arial" w:cs="Arial"/>
        </w:rPr>
      </w:pPr>
      <w:r w:rsidRPr="00B22831">
        <w:rPr>
          <w:rFonts w:ascii="Arial" w:hAnsi="Arial" w:cs="Arial"/>
          <w:vertAlign w:val="superscript"/>
        </w:rPr>
        <w:t>1</w:t>
      </w:r>
      <w:r>
        <w:rPr>
          <w:rFonts w:ascii="Arial" w:hAnsi="Arial" w:cs="Arial"/>
        </w:rPr>
        <w:t xml:space="preserve"> </w:t>
      </w:r>
      <w:r w:rsidRPr="00B22831">
        <w:rPr>
          <w:rFonts w:ascii="Arial" w:hAnsi="Arial" w:cs="Arial"/>
        </w:rPr>
        <w:t>Griffith</w:t>
      </w:r>
      <w:r>
        <w:rPr>
          <w:rFonts w:ascii="Arial" w:hAnsi="Arial" w:cs="Arial"/>
        </w:rPr>
        <w:t xml:space="preserve"> </w:t>
      </w:r>
      <w:r w:rsidRPr="00B22831">
        <w:rPr>
          <w:rFonts w:ascii="Arial" w:hAnsi="Arial" w:cs="Arial"/>
        </w:rPr>
        <w:t xml:space="preserve">University, </w:t>
      </w:r>
      <w:r>
        <w:rPr>
          <w:rFonts w:ascii="Arial" w:hAnsi="Arial" w:cs="Arial"/>
        </w:rPr>
        <w:t>Nathan</w:t>
      </w:r>
      <w:r w:rsidRPr="00B22831">
        <w:rPr>
          <w:rFonts w:ascii="Arial" w:hAnsi="Arial" w:cs="Arial"/>
        </w:rPr>
        <w:t>, 4111 QLD, Australia</w:t>
      </w:r>
    </w:p>
    <w:p w:rsidR="00C12C06" w:rsidRPr="009C4E70" w:rsidRDefault="00C12C06" w:rsidP="000902C7">
      <w:pPr>
        <w:spacing w:after="0" w:line="240" w:lineRule="auto"/>
        <w:rPr>
          <w:rFonts w:ascii="Arial" w:hAnsi="Arial" w:cs="Arial"/>
        </w:rPr>
      </w:pPr>
      <w:r>
        <w:rPr>
          <w:rFonts w:ascii="Arial" w:hAnsi="Arial" w:cs="Arial"/>
          <w:vertAlign w:val="superscript"/>
        </w:rPr>
        <w:t>2</w:t>
      </w:r>
      <w:r>
        <w:rPr>
          <w:rFonts w:ascii="Arial" w:hAnsi="Arial" w:cs="Arial"/>
        </w:rPr>
        <w:t xml:space="preserve"> </w:t>
      </w:r>
      <w:r w:rsidR="000902C7">
        <w:rPr>
          <w:rFonts w:ascii="Arial" w:hAnsi="Arial" w:cs="Arial"/>
        </w:rPr>
        <w:t>Curtin</w:t>
      </w:r>
      <w:r>
        <w:rPr>
          <w:rFonts w:ascii="Arial" w:hAnsi="Arial" w:cs="Arial"/>
        </w:rPr>
        <w:t xml:space="preserve"> </w:t>
      </w:r>
      <w:r w:rsidRPr="00B22831">
        <w:rPr>
          <w:rFonts w:ascii="Arial" w:hAnsi="Arial" w:cs="Arial"/>
        </w:rPr>
        <w:t xml:space="preserve">University, </w:t>
      </w:r>
      <w:r w:rsidR="000902C7">
        <w:rPr>
          <w:rFonts w:ascii="Arial" w:hAnsi="Arial" w:cs="Arial"/>
        </w:rPr>
        <w:t>Perth</w:t>
      </w:r>
      <w:r w:rsidRPr="00B22831">
        <w:rPr>
          <w:rFonts w:ascii="Arial" w:hAnsi="Arial" w:cs="Arial"/>
        </w:rPr>
        <w:t xml:space="preserve">, </w:t>
      </w:r>
      <w:r w:rsidR="000902C7" w:rsidRPr="000902C7">
        <w:rPr>
          <w:rFonts w:ascii="Arial" w:hAnsi="Arial" w:cs="Arial"/>
        </w:rPr>
        <w:t>6102</w:t>
      </w:r>
      <w:r w:rsidR="000902C7">
        <w:rPr>
          <w:rFonts w:ascii="Arial" w:hAnsi="Arial" w:cs="Arial"/>
        </w:rPr>
        <w:t xml:space="preserve"> WA</w:t>
      </w:r>
      <w:r w:rsidRPr="00B22831">
        <w:rPr>
          <w:rFonts w:ascii="Arial" w:hAnsi="Arial" w:cs="Arial"/>
        </w:rPr>
        <w:t>, Australia</w:t>
      </w:r>
    </w:p>
    <w:p w:rsidR="00C12C06" w:rsidRPr="009C4E70" w:rsidRDefault="00C12C06" w:rsidP="00C12C06">
      <w:pPr>
        <w:spacing w:after="0" w:line="240" w:lineRule="auto"/>
        <w:rPr>
          <w:rFonts w:ascii="Arial" w:hAnsi="Arial" w:cs="Arial"/>
          <w:b/>
          <w:color w:val="000000" w:themeColor="text1"/>
        </w:rPr>
      </w:pPr>
      <w:r w:rsidRPr="00D60FC3">
        <w:rPr>
          <w:rFonts w:ascii="Arial" w:hAnsi="Arial" w:cs="Arial"/>
        </w:rPr>
        <w:t xml:space="preserve">*Corresponding author:  </w:t>
      </w:r>
      <w:hyperlink r:id="rId5" w:history="1">
        <w:r w:rsidRPr="00BD5EC4">
          <w:rPr>
            <w:rStyle w:val="Hyperlink"/>
            <w:rFonts w:ascii="Arial" w:hAnsi="Arial" w:cs="Arial"/>
          </w:rPr>
          <w:t>mahsa.khorramdelazad@griffithuni.edu.au</w:t>
        </w:r>
      </w:hyperlink>
    </w:p>
    <w:p w:rsidR="00B35BD4" w:rsidRPr="006C4570" w:rsidRDefault="00B35BD4">
      <w:pPr>
        <w:rPr>
          <w:rFonts w:eastAsia="Times New Roman" w:cstheme="minorHAnsi"/>
          <w:color w:val="333333"/>
          <w:sz w:val="22"/>
          <w:lang w:eastAsia="en-AU"/>
        </w:rPr>
      </w:pPr>
    </w:p>
    <w:p w:rsidR="006C4570" w:rsidRPr="00C12C06" w:rsidRDefault="008C6581" w:rsidP="007E6D4E">
      <w:pPr>
        <w:spacing w:line="276" w:lineRule="auto"/>
        <w:rPr>
          <w:rFonts w:asciiTheme="minorBidi" w:hAnsiTheme="minorBidi"/>
          <w:szCs w:val="24"/>
        </w:rPr>
      </w:pPr>
      <w:r w:rsidRPr="00C12C06">
        <w:rPr>
          <w:rFonts w:asciiTheme="minorBidi" w:hAnsiTheme="minorBidi"/>
          <w:szCs w:val="24"/>
        </w:rPr>
        <w:t>L</w:t>
      </w:r>
      <w:r w:rsidRPr="00C12C06">
        <w:rPr>
          <w:rFonts w:asciiTheme="minorBidi" w:hAnsiTheme="minorBidi"/>
          <w:szCs w:val="24"/>
          <w:lang w:eastAsia="en-AU"/>
        </w:rPr>
        <w:t>entil (</w:t>
      </w:r>
      <w:r w:rsidRPr="00C12C06">
        <w:rPr>
          <w:rFonts w:asciiTheme="minorBidi" w:hAnsiTheme="minorBidi"/>
          <w:i/>
          <w:szCs w:val="24"/>
          <w:lang w:eastAsia="en-AU"/>
        </w:rPr>
        <w:t xml:space="preserve">Lens </w:t>
      </w:r>
      <w:proofErr w:type="spellStart"/>
      <w:r w:rsidRPr="00C12C06">
        <w:rPr>
          <w:rFonts w:asciiTheme="minorBidi" w:hAnsiTheme="minorBidi"/>
          <w:i/>
          <w:szCs w:val="24"/>
          <w:lang w:eastAsia="en-AU"/>
        </w:rPr>
        <w:t>culinaris</w:t>
      </w:r>
      <w:proofErr w:type="spellEnd"/>
      <w:r w:rsidRPr="00C12C06">
        <w:rPr>
          <w:rFonts w:asciiTheme="minorBidi" w:hAnsiTheme="minorBidi"/>
          <w:szCs w:val="24"/>
          <w:lang w:eastAsia="en-AU"/>
        </w:rPr>
        <w:t>)</w:t>
      </w:r>
      <w:r w:rsidRPr="00C12C06">
        <w:rPr>
          <w:rFonts w:asciiTheme="minorBidi" w:hAnsiTheme="minorBidi"/>
          <w:szCs w:val="24"/>
        </w:rPr>
        <w:t xml:space="preserve"> is a </w:t>
      </w:r>
      <w:r w:rsidRPr="00C12C06">
        <w:rPr>
          <w:rFonts w:asciiTheme="minorBidi" w:hAnsiTheme="minorBidi"/>
          <w:szCs w:val="24"/>
          <w:lang w:eastAsia="en-AU"/>
        </w:rPr>
        <w:t xml:space="preserve">valuable </w:t>
      </w:r>
      <w:r w:rsidR="00AA24C4" w:rsidRPr="00C12C06">
        <w:rPr>
          <w:rFonts w:asciiTheme="minorBidi" w:hAnsiTheme="minorBidi"/>
          <w:szCs w:val="24"/>
          <w:lang w:eastAsia="en-AU"/>
        </w:rPr>
        <w:t xml:space="preserve">staple food </w:t>
      </w:r>
      <w:r w:rsidRPr="00C12C06">
        <w:rPr>
          <w:rFonts w:asciiTheme="minorBidi" w:hAnsiTheme="minorBidi"/>
          <w:szCs w:val="24"/>
        </w:rPr>
        <w:t>legume</w:t>
      </w:r>
      <w:r w:rsidR="00AA24C4" w:rsidRPr="00C12C06">
        <w:rPr>
          <w:rFonts w:asciiTheme="minorBidi" w:hAnsiTheme="minorBidi"/>
          <w:szCs w:val="24"/>
        </w:rPr>
        <w:t xml:space="preserve"> with an </w:t>
      </w:r>
      <w:r w:rsidR="002F68C6" w:rsidRPr="00C12C06">
        <w:rPr>
          <w:rFonts w:asciiTheme="minorBidi" w:hAnsiTheme="minorBidi"/>
          <w:szCs w:val="24"/>
        </w:rPr>
        <w:t xml:space="preserve">annual </w:t>
      </w:r>
      <w:r w:rsidR="00AA24C4" w:rsidRPr="00C12C06">
        <w:rPr>
          <w:rFonts w:asciiTheme="minorBidi" w:hAnsiTheme="minorBidi"/>
          <w:szCs w:val="24"/>
        </w:rPr>
        <w:t xml:space="preserve">global </w:t>
      </w:r>
      <w:r w:rsidR="002F68C6" w:rsidRPr="00C12C06">
        <w:rPr>
          <w:rFonts w:asciiTheme="minorBidi" w:hAnsiTheme="minorBidi"/>
          <w:szCs w:val="24"/>
        </w:rPr>
        <w:t xml:space="preserve">production of </w:t>
      </w:r>
      <w:r w:rsidR="00AA24C4" w:rsidRPr="00C12C06">
        <w:rPr>
          <w:rFonts w:asciiTheme="minorBidi" w:hAnsiTheme="minorBidi"/>
          <w:szCs w:val="24"/>
        </w:rPr>
        <w:t>~</w:t>
      </w:r>
      <w:proofErr w:type="gramStart"/>
      <w:r w:rsidR="002F68C6" w:rsidRPr="00C12C06">
        <w:rPr>
          <w:rFonts w:asciiTheme="minorBidi" w:hAnsiTheme="minorBidi"/>
          <w:szCs w:val="24"/>
        </w:rPr>
        <w:t>5</w:t>
      </w:r>
      <w:r w:rsidR="00AA24C4" w:rsidRPr="00C12C06">
        <w:rPr>
          <w:rFonts w:asciiTheme="minorBidi" w:hAnsiTheme="minorBidi"/>
          <w:szCs w:val="24"/>
        </w:rPr>
        <w:t>MT which</w:t>
      </w:r>
      <w:proofErr w:type="gramEnd"/>
      <w:r w:rsidR="00AA24C4" w:rsidRPr="00C12C06">
        <w:rPr>
          <w:rFonts w:asciiTheme="minorBidi" w:hAnsiTheme="minorBidi"/>
          <w:szCs w:val="24"/>
        </w:rPr>
        <w:t xml:space="preserve"> is ubiquitously impacted by the disease </w:t>
      </w:r>
      <w:proofErr w:type="spellStart"/>
      <w:r w:rsidR="007E6D4E">
        <w:rPr>
          <w:rFonts w:asciiTheme="minorBidi" w:hAnsiTheme="minorBidi"/>
          <w:szCs w:val="24"/>
          <w:lang w:eastAsia="en-AU"/>
        </w:rPr>
        <w:t>ascochyta</w:t>
      </w:r>
      <w:proofErr w:type="spellEnd"/>
      <w:r w:rsidR="007E6D4E">
        <w:rPr>
          <w:rFonts w:asciiTheme="minorBidi" w:hAnsiTheme="minorBidi"/>
          <w:szCs w:val="24"/>
          <w:lang w:eastAsia="en-AU"/>
        </w:rPr>
        <w:t xml:space="preserve"> blight, </w:t>
      </w:r>
      <w:r w:rsidR="002F68C6" w:rsidRPr="00C12C06">
        <w:rPr>
          <w:rFonts w:asciiTheme="minorBidi" w:hAnsiTheme="minorBidi"/>
          <w:szCs w:val="24"/>
          <w:lang w:eastAsia="en-AU"/>
        </w:rPr>
        <w:t xml:space="preserve">caused by </w:t>
      </w:r>
      <w:r w:rsidR="00AA24C4" w:rsidRPr="00C12C06">
        <w:rPr>
          <w:rFonts w:asciiTheme="minorBidi" w:hAnsiTheme="minorBidi"/>
          <w:szCs w:val="24"/>
          <w:lang w:eastAsia="en-AU"/>
        </w:rPr>
        <w:t xml:space="preserve">the necrotrophic fungal pathogen, </w:t>
      </w:r>
      <w:proofErr w:type="spellStart"/>
      <w:r w:rsidR="002F68C6" w:rsidRPr="00C12C06">
        <w:rPr>
          <w:rFonts w:asciiTheme="minorBidi" w:hAnsiTheme="minorBidi"/>
          <w:i/>
          <w:szCs w:val="24"/>
          <w:lang w:eastAsia="en-AU"/>
        </w:rPr>
        <w:t>Ascochyta</w:t>
      </w:r>
      <w:proofErr w:type="spellEnd"/>
      <w:r w:rsidR="002F68C6" w:rsidRPr="00C12C06">
        <w:rPr>
          <w:rFonts w:asciiTheme="minorBidi" w:hAnsiTheme="minorBidi"/>
          <w:i/>
          <w:szCs w:val="24"/>
          <w:lang w:eastAsia="en-AU"/>
        </w:rPr>
        <w:t xml:space="preserve"> </w:t>
      </w:r>
      <w:proofErr w:type="spellStart"/>
      <w:r w:rsidR="002F68C6" w:rsidRPr="00C12C06">
        <w:rPr>
          <w:rFonts w:asciiTheme="minorBidi" w:hAnsiTheme="minorBidi"/>
          <w:i/>
          <w:szCs w:val="24"/>
          <w:lang w:eastAsia="en-AU"/>
        </w:rPr>
        <w:t>lentis</w:t>
      </w:r>
      <w:proofErr w:type="spellEnd"/>
      <w:r w:rsidR="002F68C6" w:rsidRPr="00C12C06">
        <w:rPr>
          <w:rFonts w:asciiTheme="minorBidi" w:hAnsiTheme="minorBidi"/>
          <w:szCs w:val="24"/>
          <w:lang w:eastAsia="en-AU"/>
        </w:rPr>
        <w:t xml:space="preserve">. </w:t>
      </w:r>
      <w:r w:rsidR="00645917" w:rsidRPr="00C12C06">
        <w:rPr>
          <w:rFonts w:asciiTheme="minorBidi" w:hAnsiTheme="minorBidi"/>
          <w:szCs w:val="24"/>
          <w:lang w:eastAsia="en-AU"/>
        </w:rPr>
        <w:t xml:space="preserve">The most effective and environmentally friendly method to control AB is use of </w:t>
      </w:r>
      <w:r w:rsidR="00645917" w:rsidRPr="00C12C06">
        <w:rPr>
          <w:rFonts w:asciiTheme="minorBidi" w:hAnsiTheme="minorBidi"/>
          <w:szCs w:val="24"/>
        </w:rPr>
        <w:t xml:space="preserve">resistant genotypes </w:t>
      </w:r>
      <w:r w:rsidR="00AA24C4" w:rsidRPr="00C12C06">
        <w:rPr>
          <w:rFonts w:asciiTheme="minorBidi" w:hAnsiTheme="minorBidi"/>
          <w:szCs w:val="24"/>
        </w:rPr>
        <w:t>together with scheduled chemical applications</w:t>
      </w:r>
      <w:r w:rsidR="00645917" w:rsidRPr="00C12C06">
        <w:rPr>
          <w:rFonts w:asciiTheme="minorBidi" w:hAnsiTheme="minorBidi"/>
          <w:szCs w:val="24"/>
        </w:rPr>
        <w:t xml:space="preserve">. </w:t>
      </w:r>
      <w:r w:rsidR="009D57F3" w:rsidRPr="00C12C06">
        <w:rPr>
          <w:rFonts w:asciiTheme="minorBidi" w:hAnsiTheme="minorBidi"/>
          <w:szCs w:val="24"/>
        </w:rPr>
        <w:t xml:space="preserve">In order to </w:t>
      </w:r>
      <w:r w:rsidR="00AA24C4" w:rsidRPr="00C12C06">
        <w:rPr>
          <w:rFonts w:asciiTheme="minorBidi" w:hAnsiTheme="minorBidi"/>
          <w:szCs w:val="24"/>
        </w:rPr>
        <w:t>breed sustainable resistance, knowledge on the key components underpinning the resistance trait is required</w:t>
      </w:r>
      <w:r w:rsidR="00B54671" w:rsidRPr="00C12C06">
        <w:rPr>
          <w:rFonts w:asciiTheme="minorBidi" w:hAnsiTheme="minorBidi"/>
          <w:szCs w:val="24"/>
        </w:rPr>
        <w:t>.</w:t>
      </w:r>
      <w:r w:rsidR="00AA24C4" w:rsidRPr="00C12C06">
        <w:rPr>
          <w:rFonts w:asciiTheme="minorBidi" w:hAnsiTheme="minorBidi"/>
          <w:szCs w:val="24"/>
        </w:rPr>
        <w:t xml:space="preserve"> Accordingly, a large number of </w:t>
      </w:r>
      <w:r w:rsidR="00AA24C4" w:rsidRPr="00C12C06">
        <w:rPr>
          <w:rFonts w:asciiTheme="minorBidi" w:hAnsiTheme="minorBidi"/>
          <w:i/>
          <w:szCs w:val="24"/>
        </w:rPr>
        <w:t xml:space="preserve">A. </w:t>
      </w:r>
      <w:proofErr w:type="spellStart"/>
      <w:r w:rsidR="00AA24C4" w:rsidRPr="00C12C06">
        <w:rPr>
          <w:rFonts w:asciiTheme="minorBidi" w:hAnsiTheme="minorBidi"/>
          <w:i/>
          <w:szCs w:val="24"/>
        </w:rPr>
        <w:t>lentis</w:t>
      </w:r>
      <w:proofErr w:type="spellEnd"/>
      <w:r w:rsidR="00AA24C4" w:rsidRPr="00C12C06">
        <w:rPr>
          <w:rFonts w:asciiTheme="minorBidi" w:hAnsiTheme="minorBidi"/>
          <w:szCs w:val="24"/>
        </w:rPr>
        <w:t xml:space="preserve"> defence-related transcripts were identified </w:t>
      </w:r>
      <w:r w:rsidR="007E6D4E">
        <w:rPr>
          <w:rFonts w:asciiTheme="minorBidi" w:hAnsiTheme="minorBidi"/>
          <w:szCs w:val="24"/>
        </w:rPr>
        <w:t>by RNA-s</w:t>
      </w:r>
      <w:bookmarkStart w:id="0" w:name="_GoBack"/>
      <w:bookmarkEnd w:id="0"/>
      <w:r w:rsidR="007E6D4E">
        <w:rPr>
          <w:rFonts w:asciiTheme="minorBidi" w:hAnsiTheme="minorBidi"/>
          <w:szCs w:val="24"/>
        </w:rPr>
        <w:t xml:space="preserve">equencing </w:t>
      </w:r>
      <w:r w:rsidR="00AA24C4" w:rsidRPr="00C12C06">
        <w:rPr>
          <w:rFonts w:asciiTheme="minorBidi" w:hAnsiTheme="minorBidi"/>
          <w:szCs w:val="24"/>
        </w:rPr>
        <w:t>in the highly resistant genotype ILL7537, which is routinely used in the Australian resistance breeding program</w:t>
      </w:r>
      <w:r w:rsidR="000902C7">
        <w:rPr>
          <w:rFonts w:asciiTheme="minorBidi" w:hAnsiTheme="minorBidi"/>
          <w:szCs w:val="24"/>
        </w:rPr>
        <w:t xml:space="preserve"> </w:t>
      </w:r>
      <w:r w:rsidR="000902C7">
        <w:rPr>
          <w:rFonts w:asciiTheme="minorBidi" w:hAnsiTheme="minorBidi"/>
          <w:szCs w:val="24"/>
        </w:rPr>
        <w:fldChar w:fldCharType="begin"/>
      </w:r>
      <w:r w:rsidR="000902C7">
        <w:rPr>
          <w:rFonts w:asciiTheme="minorBidi" w:hAnsiTheme="minorBidi"/>
          <w:szCs w:val="24"/>
        </w:rPr>
        <w:instrText xml:space="preserve"> ADDIN ZOTERO_ITEM CSL_CITATION {"citationID":"auip7mh44i","properties":{"formattedCitation":"[1]","plainCitation":"[1]"},"citationItems":[{"id":5227,"uris":["http://zotero.org/users/1248620/items/46RBTQPY"],"uri":["http://zotero.org/users/1248620/items/46RBTQPY"],"itemData":{"id":5227,"type":"article-journal","title":"Transcriptome profiling of lentil (&lt;i&gt;Lens culinaris&lt;/i&gt;) through the first 24 hours of &lt;i&gt;Ascochyta lentis&lt;/i&gt; infection reveals key defence response genes","container-title":"BMC Genomics","page":"108","volume":"19","source":"BioMed Central","abstract":"Ascochyta blight, caused by the fungus Ascochyta lentis, is one of the most destructive lentil diseases worldwide, resulting in over $16 million AUD annual loss in Australia alone. The use of resistant cultivars is currently considered the most effective and environmentally sustainable strategy to control this disease. However, little is known about the genes and molecular mechanisms underlying lentil resistance against A. lentis.","DOI":"10.1186/s12864-018-4488-1","ISSN":"1471-2164","journalAbbreviation":"BMC Genomics","author":[{"literal":"Mahsa Khorramdelazad"},{"family":"Bar","given":"Ido"},{"literal":"Paul Whatmore"},{"literal":"Gabrielle Smetham"},{"family":"Bhaaskaria","given":"Vijay"},{"family":"Yang","given":"Yuedong"},{"family":"Bai","given":"Shahla Hosseini"},{"family":"Mantri","given":"Nitin"},{"family":"Zhou","given":"Yaoqi"},{"family":"Ford","given":"Rebecca"}],"issued":{"date-parts":[["2018",1,31]]}}}],"schema":"https://github.com/citation-style-language/schema/raw/master/csl-citation.json"} </w:instrText>
      </w:r>
      <w:r w:rsidR="000902C7">
        <w:rPr>
          <w:rFonts w:asciiTheme="minorBidi" w:hAnsiTheme="minorBidi"/>
          <w:szCs w:val="24"/>
        </w:rPr>
        <w:fldChar w:fldCharType="separate"/>
      </w:r>
      <w:r w:rsidR="000902C7" w:rsidRPr="000902C7">
        <w:rPr>
          <w:rFonts w:ascii="Arial" w:hAnsi="Arial" w:cs="Arial"/>
        </w:rPr>
        <w:t>[1]</w:t>
      </w:r>
      <w:r w:rsidR="000902C7">
        <w:rPr>
          <w:rFonts w:asciiTheme="minorBidi" w:hAnsiTheme="minorBidi"/>
          <w:szCs w:val="24"/>
        </w:rPr>
        <w:fldChar w:fldCharType="end"/>
      </w:r>
      <w:r w:rsidR="00AA24C4" w:rsidRPr="00C12C06">
        <w:rPr>
          <w:rFonts w:asciiTheme="minorBidi" w:hAnsiTheme="minorBidi"/>
          <w:szCs w:val="24"/>
        </w:rPr>
        <w:t>.</w:t>
      </w:r>
      <w:r w:rsidR="00B54671" w:rsidRPr="00C12C06">
        <w:rPr>
          <w:rFonts w:asciiTheme="minorBidi" w:hAnsiTheme="minorBidi"/>
          <w:szCs w:val="24"/>
        </w:rPr>
        <w:t xml:space="preserve"> </w:t>
      </w:r>
      <w:r w:rsidR="00AA24C4" w:rsidRPr="00C12C06">
        <w:rPr>
          <w:rFonts w:asciiTheme="minorBidi" w:hAnsiTheme="minorBidi"/>
          <w:szCs w:val="24"/>
        </w:rPr>
        <w:t xml:space="preserve">Subsequently, </w:t>
      </w:r>
      <w:r w:rsidR="000902C7">
        <w:rPr>
          <w:rFonts w:asciiTheme="minorBidi" w:hAnsiTheme="minorBidi"/>
          <w:szCs w:val="24"/>
        </w:rPr>
        <w:t xml:space="preserve">genome-by-sequencing (GBS) method was used to identify SNP markers and produce </w:t>
      </w:r>
      <w:r w:rsidR="00AA24C4" w:rsidRPr="00C12C06">
        <w:rPr>
          <w:rFonts w:asciiTheme="minorBidi" w:hAnsiTheme="minorBidi"/>
          <w:szCs w:val="24"/>
        </w:rPr>
        <w:t xml:space="preserve">a comprehensive </w:t>
      </w:r>
      <w:r w:rsidR="000902C7">
        <w:rPr>
          <w:rFonts w:asciiTheme="minorBidi" w:hAnsiTheme="minorBidi"/>
          <w:szCs w:val="24"/>
        </w:rPr>
        <w:t>linkage map comprising of 1161</w:t>
      </w:r>
      <w:r w:rsidR="00AA24C4" w:rsidRPr="00C12C06">
        <w:rPr>
          <w:rFonts w:asciiTheme="minorBidi" w:hAnsiTheme="minorBidi"/>
          <w:szCs w:val="24"/>
        </w:rPr>
        <w:t xml:space="preserve"> markers across 1</w:t>
      </w:r>
      <w:r w:rsidR="00C12C06">
        <w:rPr>
          <w:rFonts w:asciiTheme="minorBidi" w:hAnsiTheme="minorBidi"/>
          <w:szCs w:val="24"/>
        </w:rPr>
        <w:t>2</w:t>
      </w:r>
      <w:r w:rsidR="000902C7">
        <w:rPr>
          <w:rFonts w:asciiTheme="minorBidi" w:hAnsiTheme="minorBidi"/>
          <w:szCs w:val="24"/>
        </w:rPr>
        <w:t>0</w:t>
      </w:r>
      <w:r w:rsidR="007E6D4E">
        <w:rPr>
          <w:rFonts w:asciiTheme="minorBidi" w:hAnsiTheme="minorBidi"/>
          <w:szCs w:val="24"/>
        </w:rPr>
        <w:t xml:space="preserve"> F5 RIL (ILL7537 x </w:t>
      </w:r>
      <w:r w:rsidR="00AA24C4" w:rsidRPr="00C12C06">
        <w:rPr>
          <w:rFonts w:asciiTheme="minorBidi" w:hAnsiTheme="minorBidi"/>
          <w:szCs w:val="24"/>
        </w:rPr>
        <w:t>ILL6002</w:t>
      </w:r>
      <w:r w:rsidR="007E6D4E">
        <w:rPr>
          <w:rFonts w:asciiTheme="minorBidi" w:hAnsiTheme="minorBidi"/>
          <w:szCs w:val="24"/>
        </w:rPr>
        <w:t xml:space="preserve"> cross</w:t>
      </w:r>
      <w:r w:rsidR="00AA24C4" w:rsidRPr="00C12C06">
        <w:rPr>
          <w:rFonts w:asciiTheme="minorBidi" w:hAnsiTheme="minorBidi"/>
          <w:szCs w:val="24"/>
        </w:rPr>
        <w:t>)</w:t>
      </w:r>
      <w:r w:rsidR="000902C7">
        <w:rPr>
          <w:rFonts w:asciiTheme="minorBidi" w:hAnsiTheme="minorBidi"/>
          <w:szCs w:val="24"/>
        </w:rPr>
        <w:t>.</w:t>
      </w:r>
      <w:r w:rsidR="006C4570" w:rsidRPr="00C12C06">
        <w:rPr>
          <w:rFonts w:asciiTheme="minorBidi" w:hAnsiTheme="minorBidi"/>
          <w:szCs w:val="24"/>
        </w:rPr>
        <w:t xml:space="preserve"> </w:t>
      </w:r>
      <w:r w:rsidR="000902C7">
        <w:rPr>
          <w:rFonts w:asciiTheme="minorBidi" w:hAnsiTheme="minorBidi"/>
          <w:szCs w:val="24"/>
        </w:rPr>
        <w:t xml:space="preserve">Disease resistance in the RIL population </w:t>
      </w:r>
      <w:proofErr w:type="gramStart"/>
      <w:r w:rsidR="000902C7">
        <w:rPr>
          <w:rFonts w:asciiTheme="minorBidi" w:hAnsiTheme="minorBidi"/>
          <w:szCs w:val="24"/>
        </w:rPr>
        <w:t>was assessed</w:t>
      </w:r>
      <w:proofErr w:type="gramEnd"/>
      <w:r w:rsidR="000902C7">
        <w:rPr>
          <w:rFonts w:asciiTheme="minorBidi" w:hAnsiTheme="minorBidi"/>
          <w:szCs w:val="24"/>
        </w:rPr>
        <w:t xml:space="preserve"> using four quantitative traits and</w:t>
      </w:r>
      <w:r w:rsidR="00AA24C4" w:rsidRPr="00C12C06">
        <w:rPr>
          <w:rFonts w:asciiTheme="minorBidi" w:hAnsiTheme="minorBidi"/>
          <w:szCs w:val="24"/>
        </w:rPr>
        <w:t xml:space="preserve"> th</w:t>
      </w:r>
      <w:r w:rsidR="007A0EA3">
        <w:rPr>
          <w:rFonts w:asciiTheme="minorBidi" w:hAnsiTheme="minorBidi"/>
          <w:szCs w:val="24"/>
        </w:rPr>
        <w:t>re</w:t>
      </w:r>
      <w:r w:rsidR="00AA24C4" w:rsidRPr="00C12C06">
        <w:rPr>
          <w:rFonts w:asciiTheme="minorBidi" w:hAnsiTheme="minorBidi"/>
          <w:szCs w:val="24"/>
        </w:rPr>
        <w:t xml:space="preserve">e major </w:t>
      </w:r>
      <w:r w:rsidR="007A0EA3">
        <w:rPr>
          <w:rFonts w:asciiTheme="minorBidi" w:hAnsiTheme="minorBidi"/>
          <w:szCs w:val="24"/>
        </w:rPr>
        <w:t xml:space="preserve">quantitative trait loci </w:t>
      </w:r>
      <w:r w:rsidR="00AA24C4" w:rsidRPr="00C12C06">
        <w:rPr>
          <w:rFonts w:asciiTheme="minorBidi" w:hAnsiTheme="minorBidi"/>
          <w:szCs w:val="24"/>
        </w:rPr>
        <w:t xml:space="preserve">governing the ILL7537 resistance were </w:t>
      </w:r>
      <w:r w:rsidR="007A0EA3">
        <w:rPr>
          <w:rFonts w:asciiTheme="minorBidi" w:hAnsiTheme="minorBidi"/>
          <w:szCs w:val="24"/>
        </w:rPr>
        <w:t>identified (R-QTL)</w:t>
      </w:r>
      <w:r w:rsidR="00AA24C4" w:rsidRPr="00C12C06">
        <w:rPr>
          <w:rFonts w:asciiTheme="minorBidi" w:hAnsiTheme="minorBidi"/>
          <w:szCs w:val="24"/>
        </w:rPr>
        <w:t xml:space="preserve">. </w:t>
      </w:r>
      <w:r w:rsidR="006C4570" w:rsidRPr="00C12C06">
        <w:rPr>
          <w:rFonts w:asciiTheme="minorBidi" w:hAnsiTheme="minorBidi"/>
          <w:szCs w:val="24"/>
        </w:rPr>
        <w:t xml:space="preserve">Co-location of differentially expressed defence-related transcripts with </w:t>
      </w:r>
      <w:r w:rsidR="00C12C06">
        <w:rPr>
          <w:rFonts w:asciiTheme="minorBidi" w:hAnsiTheme="minorBidi"/>
          <w:szCs w:val="24"/>
        </w:rPr>
        <w:t xml:space="preserve">SNPs </w:t>
      </w:r>
      <w:r w:rsidR="007A0EA3">
        <w:rPr>
          <w:rFonts w:asciiTheme="minorBidi" w:hAnsiTheme="minorBidi"/>
          <w:szCs w:val="24"/>
        </w:rPr>
        <w:t>within</w:t>
      </w:r>
      <w:r w:rsidR="00C12C06">
        <w:rPr>
          <w:rFonts w:asciiTheme="minorBidi" w:hAnsiTheme="minorBidi"/>
          <w:szCs w:val="24"/>
        </w:rPr>
        <w:t xml:space="preserve"> the </w:t>
      </w:r>
      <w:r w:rsidR="007A0EA3">
        <w:rPr>
          <w:rFonts w:asciiTheme="minorBidi" w:hAnsiTheme="minorBidi"/>
          <w:szCs w:val="24"/>
        </w:rPr>
        <w:t>identified</w:t>
      </w:r>
      <w:r w:rsidR="00C12C06">
        <w:rPr>
          <w:rFonts w:asciiTheme="minorBidi" w:hAnsiTheme="minorBidi"/>
          <w:szCs w:val="24"/>
        </w:rPr>
        <w:t xml:space="preserve"> </w:t>
      </w:r>
      <w:r w:rsidR="007A0EA3">
        <w:rPr>
          <w:rFonts w:asciiTheme="minorBidi" w:hAnsiTheme="minorBidi"/>
          <w:szCs w:val="24"/>
        </w:rPr>
        <w:t>R-</w:t>
      </w:r>
      <w:r w:rsidR="00C12C06">
        <w:rPr>
          <w:rFonts w:asciiTheme="minorBidi" w:hAnsiTheme="minorBidi"/>
          <w:szCs w:val="24"/>
        </w:rPr>
        <w:t xml:space="preserve">QTL regions </w:t>
      </w:r>
      <w:r w:rsidR="007A0EA3">
        <w:rPr>
          <w:rFonts w:asciiTheme="minorBidi" w:hAnsiTheme="minorBidi"/>
          <w:szCs w:val="24"/>
        </w:rPr>
        <w:t xml:space="preserve">revealed a set of </w:t>
      </w:r>
      <w:r w:rsidR="006C4570" w:rsidRPr="00C12C06">
        <w:rPr>
          <w:rFonts w:asciiTheme="minorBidi" w:hAnsiTheme="minorBidi"/>
          <w:szCs w:val="24"/>
        </w:rPr>
        <w:t xml:space="preserve">putative candidate resistance genes and associated transcription factors, for further investigation as the key drivers of the resistance trait. </w:t>
      </w:r>
    </w:p>
    <w:p w:rsidR="000902C7" w:rsidRPr="000902C7" w:rsidRDefault="000902C7" w:rsidP="000902C7">
      <w:pPr>
        <w:pStyle w:val="Bibliography"/>
        <w:rPr>
          <w:rFonts w:ascii="Calibri" w:hAnsi="Calibri"/>
          <w:sz w:val="22"/>
        </w:rPr>
      </w:pPr>
      <w:r>
        <w:rPr>
          <w:rFonts w:cstheme="minorHAnsi"/>
          <w:sz w:val="22"/>
        </w:rPr>
        <w:fldChar w:fldCharType="begin"/>
      </w:r>
      <w:r>
        <w:rPr>
          <w:rFonts w:cstheme="minorHAnsi"/>
          <w:sz w:val="22"/>
        </w:rPr>
        <w:instrText xml:space="preserve"> ADDIN ZOTERO_BIBL {"custom":[]} CSL_BIBLIOGRAPHY </w:instrText>
      </w:r>
      <w:r>
        <w:rPr>
          <w:rFonts w:cstheme="minorHAnsi"/>
          <w:sz w:val="22"/>
        </w:rPr>
        <w:fldChar w:fldCharType="separate"/>
      </w:r>
      <w:r w:rsidRPr="000902C7">
        <w:rPr>
          <w:rFonts w:ascii="Calibri" w:hAnsi="Calibri"/>
          <w:sz w:val="22"/>
        </w:rPr>
        <w:t xml:space="preserve">1. </w:t>
      </w:r>
      <w:proofErr w:type="spellStart"/>
      <w:r w:rsidRPr="000902C7">
        <w:rPr>
          <w:rFonts w:ascii="Calibri" w:hAnsi="Calibri"/>
          <w:sz w:val="22"/>
        </w:rPr>
        <w:t>Mahsa</w:t>
      </w:r>
      <w:proofErr w:type="spellEnd"/>
      <w:r w:rsidRPr="000902C7">
        <w:rPr>
          <w:rFonts w:ascii="Calibri" w:hAnsi="Calibri"/>
          <w:sz w:val="22"/>
        </w:rPr>
        <w:t xml:space="preserve"> </w:t>
      </w:r>
      <w:proofErr w:type="spellStart"/>
      <w:r w:rsidRPr="000902C7">
        <w:rPr>
          <w:rFonts w:ascii="Calibri" w:hAnsi="Calibri"/>
          <w:sz w:val="22"/>
        </w:rPr>
        <w:t>Khorramdelazad</w:t>
      </w:r>
      <w:proofErr w:type="spellEnd"/>
      <w:r w:rsidRPr="000902C7">
        <w:rPr>
          <w:rFonts w:ascii="Calibri" w:hAnsi="Calibri"/>
          <w:sz w:val="22"/>
        </w:rPr>
        <w:t xml:space="preserve">, Bar I, Paul </w:t>
      </w:r>
      <w:proofErr w:type="spellStart"/>
      <w:r w:rsidRPr="000902C7">
        <w:rPr>
          <w:rFonts w:ascii="Calibri" w:hAnsi="Calibri"/>
          <w:sz w:val="22"/>
        </w:rPr>
        <w:t>Whatmore</w:t>
      </w:r>
      <w:proofErr w:type="spellEnd"/>
      <w:r w:rsidRPr="000902C7">
        <w:rPr>
          <w:rFonts w:ascii="Calibri" w:hAnsi="Calibri"/>
          <w:sz w:val="22"/>
        </w:rPr>
        <w:t xml:space="preserve">, Gabrielle </w:t>
      </w:r>
      <w:proofErr w:type="spellStart"/>
      <w:r w:rsidRPr="000902C7">
        <w:rPr>
          <w:rFonts w:ascii="Calibri" w:hAnsi="Calibri"/>
          <w:sz w:val="22"/>
        </w:rPr>
        <w:t>Smetham</w:t>
      </w:r>
      <w:proofErr w:type="spellEnd"/>
      <w:r w:rsidRPr="000902C7">
        <w:rPr>
          <w:rFonts w:ascii="Calibri" w:hAnsi="Calibri"/>
          <w:sz w:val="22"/>
        </w:rPr>
        <w:t xml:space="preserve">, </w:t>
      </w:r>
      <w:proofErr w:type="spellStart"/>
      <w:r w:rsidRPr="000902C7">
        <w:rPr>
          <w:rFonts w:ascii="Calibri" w:hAnsi="Calibri"/>
          <w:sz w:val="22"/>
        </w:rPr>
        <w:t>Bhaaskaria</w:t>
      </w:r>
      <w:proofErr w:type="spellEnd"/>
      <w:r w:rsidRPr="000902C7">
        <w:rPr>
          <w:rFonts w:ascii="Calibri" w:hAnsi="Calibri"/>
          <w:sz w:val="22"/>
        </w:rPr>
        <w:t xml:space="preserve"> V, Yang Y, et al. Transcriptome profiling of lentil (</w:t>
      </w:r>
      <w:r w:rsidRPr="000902C7">
        <w:rPr>
          <w:rFonts w:ascii="Calibri" w:hAnsi="Calibri"/>
          <w:i/>
          <w:iCs/>
          <w:sz w:val="22"/>
        </w:rPr>
        <w:t xml:space="preserve">Lens </w:t>
      </w:r>
      <w:proofErr w:type="spellStart"/>
      <w:r w:rsidRPr="000902C7">
        <w:rPr>
          <w:rFonts w:ascii="Calibri" w:hAnsi="Calibri"/>
          <w:i/>
          <w:iCs/>
          <w:sz w:val="22"/>
        </w:rPr>
        <w:t>culinaris</w:t>
      </w:r>
      <w:proofErr w:type="spellEnd"/>
      <w:r w:rsidRPr="000902C7">
        <w:rPr>
          <w:rFonts w:ascii="Calibri" w:hAnsi="Calibri"/>
          <w:sz w:val="22"/>
        </w:rPr>
        <w:t xml:space="preserve">) through the first 24 hours of </w:t>
      </w:r>
      <w:proofErr w:type="spellStart"/>
      <w:r w:rsidRPr="000902C7">
        <w:rPr>
          <w:rFonts w:ascii="Calibri" w:hAnsi="Calibri"/>
          <w:i/>
          <w:iCs/>
          <w:sz w:val="22"/>
        </w:rPr>
        <w:t>Ascochyta</w:t>
      </w:r>
      <w:proofErr w:type="spellEnd"/>
      <w:r w:rsidRPr="000902C7">
        <w:rPr>
          <w:rFonts w:ascii="Calibri" w:hAnsi="Calibri"/>
          <w:i/>
          <w:iCs/>
          <w:sz w:val="22"/>
        </w:rPr>
        <w:t xml:space="preserve"> </w:t>
      </w:r>
      <w:proofErr w:type="spellStart"/>
      <w:r w:rsidRPr="000902C7">
        <w:rPr>
          <w:rFonts w:ascii="Calibri" w:hAnsi="Calibri"/>
          <w:i/>
          <w:iCs/>
          <w:sz w:val="22"/>
        </w:rPr>
        <w:t>lentis</w:t>
      </w:r>
      <w:proofErr w:type="spellEnd"/>
      <w:r w:rsidRPr="000902C7">
        <w:rPr>
          <w:rFonts w:ascii="Calibri" w:hAnsi="Calibri"/>
          <w:sz w:val="22"/>
        </w:rPr>
        <w:t xml:space="preserve"> infection reveals key defence response genes. BMC Genomics. 2018</w:t>
      </w:r>
      <w:proofErr w:type="gramStart"/>
      <w:r w:rsidRPr="000902C7">
        <w:rPr>
          <w:rFonts w:ascii="Calibri" w:hAnsi="Calibri"/>
          <w:sz w:val="22"/>
        </w:rPr>
        <w:t>;19:108</w:t>
      </w:r>
      <w:proofErr w:type="gramEnd"/>
      <w:r w:rsidRPr="000902C7">
        <w:rPr>
          <w:rFonts w:ascii="Calibri" w:hAnsi="Calibri"/>
          <w:sz w:val="22"/>
        </w:rPr>
        <w:t xml:space="preserve">. </w:t>
      </w:r>
    </w:p>
    <w:p w:rsidR="006C4570" w:rsidRPr="006C4570" w:rsidRDefault="000902C7" w:rsidP="000902C7">
      <w:pPr>
        <w:rPr>
          <w:rFonts w:cstheme="minorHAnsi"/>
          <w:sz w:val="22"/>
        </w:rPr>
      </w:pPr>
      <w:r>
        <w:rPr>
          <w:rFonts w:cstheme="minorHAnsi"/>
          <w:sz w:val="22"/>
        </w:rPr>
        <w:fldChar w:fldCharType="end"/>
      </w:r>
    </w:p>
    <w:p w:rsidR="002F68C6" w:rsidRPr="006C4570" w:rsidRDefault="002F68C6" w:rsidP="001A212A">
      <w:pPr>
        <w:rPr>
          <w:rFonts w:cstheme="minorHAnsi"/>
          <w:sz w:val="22"/>
        </w:rPr>
      </w:pPr>
    </w:p>
    <w:sectPr w:rsidR="002F68C6" w:rsidRPr="006C45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AD5CA8"/>
    <w:multiLevelType w:val="multilevel"/>
    <w:tmpl w:val="DE8A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C9"/>
    <w:rsid w:val="000902C7"/>
    <w:rsid w:val="000B0E60"/>
    <w:rsid w:val="001A212A"/>
    <w:rsid w:val="001A59B7"/>
    <w:rsid w:val="002F68C6"/>
    <w:rsid w:val="00364635"/>
    <w:rsid w:val="0037209F"/>
    <w:rsid w:val="004D750D"/>
    <w:rsid w:val="00645917"/>
    <w:rsid w:val="006C4570"/>
    <w:rsid w:val="006E5D21"/>
    <w:rsid w:val="007A0EA3"/>
    <w:rsid w:val="007E6D4E"/>
    <w:rsid w:val="008A06A3"/>
    <w:rsid w:val="008C6581"/>
    <w:rsid w:val="008F7FC5"/>
    <w:rsid w:val="009D57F3"/>
    <w:rsid w:val="00A43E4D"/>
    <w:rsid w:val="00AA24C4"/>
    <w:rsid w:val="00B35BD4"/>
    <w:rsid w:val="00B54671"/>
    <w:rsid w:val="00B66ECF"/>
    <w:rsid w:val="00B83EE7"/>
    <w:rsid w:val="00B9068F"/>
    <w:rsid w:val="00C12C06"/>
    <w:rsid w:val="00C83640"/>
    <w:rsid w:val="00D169A8"/>
    <w:rsid w:val="00D67734"/>
    <w:rsid w:val="00EE7918"/>
    <w:rsid w:val="00EF35C9"/>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6197F"/>
  <w15:chartTrackingRefBased/>
  <w15:docId w15:val="{144F5D12-C79C-4682-9196-849C622F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BD4"/>
    <w:pPr>
      <w:spacing w:line="480" w:lineRule="auto"/>
      <w:jc w:val="both"/>
    </w:pPr>
    <w:rPr>
      <w:sz w:val="24"/>
    </w:rPr>
  </w:style>
  <w:style w:type="paragraph" w:styleId="Heading1">
    <w:name w:val="heading 1"/>
    <w:basedOn w:val="Normal"/>
    <w:next w:val="Normal"/>
    <w:link w:val="Heading1Char"/>
    <w:uiPriority w:val="9"/>
    <w:qFormat/>
    <w:rsid w:val="00EE7918"/>
    <w:pPr>
      <w:keepNext/>
      <w:keepLines/>
      <w:spacing w:before="240" w:after="0"/>
      <w:outlineLvl w:val="0"/>
    </w:pPr>
    <w:rPr>
      <w:rFonts w:asciiTheme="majorHAnsi" w:eastAsiaTheme="majorEastAsia" w:hAnsiTheme="majorHAnsi" w:cstheme="majorBidi"/>
      <w:color w:val="2E74B5" w:themeColor="accent1" w:themeShade="BF"/>
      <w:sz w:val="28"/>
      <w:szCs w:val="32"/>
    </w:rPr>
  </w:style>
  <w:style w:type="paragraph" w:styleId="Heading5">
    <w:name w:val="heading 5"/>
    <w:basedOn w:val="Normal"/>
    <w:next w:val="Normal"/>
    <w:link w:val="Heading5Char"/>
    <w:uiPriority w:val="9"/>
    <w:semiHidden/>
    <w:unhideWhenUsed/>
    <w:qFormat/>
    <w:rsid w:val="006E5D2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BD4"/>
    <w:rPr>
      <w:color w:val="0000FF"/>
      <w:u w:val="single"/>
    </w:rPr>
  </w:style>
  <w:style w:type="character" w:customStyle="1" w:styleId="Heading1Char">
    <w:name w:val="Heading 1 Char"/>
    <w:basedOn w:val="DefaultParagraphFont"/>
    <w:link w:val="Heading1"/>
    <w:uiPriority w:val="9"/>
    <w:rsid w:val="00EE7918"/>
    <w:rPr>
      <w:rFonts w:asciiTheme="majorHAnsi" w:eastAsiaTheme="majorEastAsia" w:hAnsiTheme="majorHAnsi" w:cstheme="majorBidi"/>
      <w:color w:val="2E74B5" w:themeColor="accent1" w:themeShade="BF"/>
      <w:sz w:val="28"/>
      <w:szCs w:val="32"/>
    </w:rPr>
  </w:style>
  <w:style w:type="character" w:customStyle="1" w:styleId="Heading5Char">
    <w:name w:val="Heading 5 Char"/>
    <w:basedOn w:val="DefaultParagraphFont"/>
    <w:link w:val="Heading5"/>
    <w:uiPriority w:val="9"/>
    <w:semiHidden/>
    <w:rsid w:val="006E5D21"/>
    <w:rPr>
      <w:rFonts w:asciiTheme="majorHAnsi" w:eastAsiaTheme="majorEastAsia" w:hAnsiTheme="majorHAnsi" w:cstheme="majorBidi"/>
      <w:color w:val="2E74B5" w:themeColor="accent1" w:themeShade="BF"/>
      <w:sz w:val="24"/>
    </w:rPr>
  </w:style>
  <w:style w:type="paragraph" w:styleId="NoSpacing">
    <w:name w:val="No Spacing"/>
    <w:uiPriority w:val="99"/>
    <w:qFormat/>
    <w:rsid w:val="00C12C06"/>
    <w:pPr>
      <w:spacing w:after="0" w:line="240" w:lineRule="auto"/>
    </w:pPr>
    <w:rPr>
      <w:rFonts w:ascii="Calibri" w:eastAsia="Calibri" w:hAnsi="Calibri" w:cs="Times New Roman"/>
      <w:lang w:val="en-US"/>
    </w:rPr>
  </w:style>
  <w:style w:type="paragraph" w:styleId="Bibliography">
    <w:name w:val="Bibliography"/>
    <w:basedOn w:val="Normal"/>
    <w:next w:val="Normal"/>
    <w:uiPriority w:val="37"/>
    <w:unhideWhenUsed/>
    <w:rsid w:val="000902C7"/>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320860">
      <w:bodyDiv w:val="1"/>
      <w:marLeft w:val="0"/>
      <w:marRight w:val="0"/>
      <w:marTop w:val="0"/>
      <w:marBottom w:val="0"/>
      <w:divBdr>
        <w:top w:val="none" w:sz="0" w:space="0" w:color="auto"/>
        <w:left w:val="none" w:sz="0" w:space="0" w:color="auto"/>
        <w:bottom w:val="none" w:sz="0" w:space="0" w:color="auto"/>
        <w:right w:val="none" w:sz="0" w:space="0" w:color="auto"/>
      </w:divBdr>
    </w:div>
    <w:div w:id="137955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hsa.khorramdelazad@griffithuni.edu.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Griffith University</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Mahsa Khorramdelazad</dc:creator>
  <cp:keywords/>
  <dc:description/>
  <cp:lastModifiedBy>Ido Bar</cp:lastModifiedBy>
  <cp:revision>4</cp:revision>
  <dcterms:created xsi:type="dcterms:W3CDTF">2017-12-07T08:09:00Z</dcterms:created>
  <dcterms:modified xsi:type="dcterms:W3CDTF">2018-02-22T00:12:00Z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zotero-version="5.0.35.1"&gt;&lt;session id="LwNyy3ne"/&gt;&lt;style id="http://www.zotero.org/styles/bmc-genomics" hasBibliography="1" bibliographyStyleHasBeenSet="1"/&gt;&lt;prefs&gt;&lt;pref name="fieldType" value="Field"/&gt;&lt;pref name="automaticJournalAb</vt:lpwstr>
  </property>
  <property fmtid="{D5CDD505-2E9C-101B-9397-08002B2CF9AE}" pid="3" name="ZOTERO_PREF_2">
    <vt:lpwstr>breviations" value="true"/&gt;&lt;pref name="noteType" value="0"/&gt;&lt;/prefs&gt;&lt;/data&gt;</vt:lpwstr>
  </property>
</Properties>
</file>