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027CA0" w:rsidP="00FF57D9">
      <w:pPr>
        <w:jc w:val="both"/>
        <w:rPr>
          <w:sz w:val="22"/>
          <w:szCs w:val="22"/>
          <w:lang w:val="en-GB"/>
        </w:rPr>
      </w:pPr>
      <w:r>
        <w:rPr>
          <w:noProof/>
          <w:sz w:val="22"/>
          <w:szCs w:val="22"/>
          <w:lang w:val="en-US" w:eastAsia="en-US" w:bidi="he-IL"/>
        </w:rPr>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1241425" cy="1296035"/>
            <wp:effectExtent l="19050" t="0" r="0" b="0"/>
            <wp:wrapSquare wrapText="bothSides"/>
            <wp:docPr id="2" name="Picture 2" descr="C:\Users\Asael\Downloads\IMAG215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ael\Downloads\IMAG2159 (1).jpg"/>
                    <pic:cNvPicPr>
                      <a:picLocks noChangeAspect="1" noChangeArrowheads="1"/>
                    </pic:cNvPicPr>
                  </pic:nvPicPr>
                  <pic:blipFill>
                    <a:blip r:embed="rId8" cstate="print"/>
                    <a:srcRect l="25269" t="25960" b="30202"/>
                    <a:stretch>
                      <a:fillRect/>
                    </a:stretch>
                  </pic:blipFill>
                  <pic:spPr bwMode="auto">
                    <a:xfrm>
                      <a:off x="0" y="0"/>
                      <a:ext cx="1241425" cy="1296035"/>
                    </a:xfrm>
                    <a:prstGeom prst="rect">
                      <a:avLst/>
                    </a:prstGeom>
                    <a:noFill/>
                    <a:ln w="9525">
                      <a:noFill/>
                      <a:miter lim="800000"/>
                      <a:headEnd/>
                      <a:tailEnd/>
                    </a:ln>
                  </pic:spPr>
                </pic:pic>
              </a:graphicData>
            </a:graphic>
          </wp:anchor>
        </w:drawing>
      </w:r>
      <w:r w:rsidR="002C0F2B">
        <w:rPr>
          <w:sz w:val="22"/>
          <w:szCs w:val="22"/>
          <w:lang w:val="en-GB"/>
        </w:rPr>
        <w:t xml:space="preserve">                                                                                                                       </w:t>
      </w:r>
    </w:p>
    <w:p w:rsidR="00AC3BCD" w:rsidRDefault="00FF57D9" w:rsidP="00FF57D9">
      <w:pPr>
        <w:rPr>
          <w:rFonts w:eastAsia="MS PGothic"/>
          <w:b/>
          <w:color w:val="000000"/>
          <w:sz w:val="28"/>
          <w:szCs w:val="28"/>
        </w:rPr>
      </w:pPr>
      <w:r>
        <w:rPr>
          <w:rFonts w:asciiTheme="majorBidi" w:hAnsiTheme="majorBidi" w:cstheme="majorBidi"/>
          <w:b/>
          <w:bCs/>
          <w:sz w:val="30"/>
          <w:szCs w:val="30"/>
          <w:lang w:val="en-NZ"/>
        </w:rPr>
        <w:t>Economically Viable Aquaponics: Mapping the Gap between Promising Potential and Current Uncertainties</w:t>
      </w:r>
    </w:p>
    <w:p w:rsidR="00AC3BCD" w:rsidRPr="00027CA0" w:rsidRDefault="00AC3BCD" w:rsidP="00FF57D9">
      <w:pPr>
        <w:rPr>
          <w:rFonts w:eastAsia="MS PGothic" w:hAnsi="Arial"/>
          <w:color w:val="000000"/>
          <w:vertAlign w:val="superscript"/>
          <w:lang w:val="en-US" w:bidi="he-IL"/>
        </w:rPr>
      </w:pPr>
      <w:r>
        <w:rPr>
          <w:rFonts w:eastAsia="MS PGothic" w:hAnsi="Arial"/>
          <w:color w:val="000000"/>
        </w:rPr>
        <w:br/>
      </w:r>
      <w:r>
        <w:rPr>
          <w:b/>
          <w:sz w:val="28"/>
          <w:szCs w:val="28"/>
        </w:rPr>
        <w:t xml:space="preserve">                                            </w:t>
      </w:r>
      <w:r>
        <w:rPr>
          <w:rFonts w:eastAsia="MS PGothic" w:hAnsi="Arial"/>
          <w:color w:val="000000"/>
        </w:rPr>
        <w:t xml:space="preserve">Name: </w:t>
      </w:r>
      <w:r w:rsidR="00FF57D9" w:rsidRPr="00027CA0">
        <w:rPr>
          <w:rFonts w:eastAsia="MS PGothic" w:hAnsi="Arial" w:hint="cs"/>
          <w:b/>
          <w:bCs/>
          <w:color w:val="000000"/>
          <w:rtl/>
          <w:lang w:bidi="he-IL"/>
        </w:rPr>
        <w:t>A</w:t>
      </w:r>
      <w:proofErr w:type="spellStart"/>
      <w:r w:rsidR="00FF57D9" w:rsidRPr="00027CA0">
        <w:rPr>
          <w:rFonts w:eastAsia="MS PGothic" w:hAnsi="Arial"/>
          <w:b/>
          <w:bCs/>
          <w:color w:val="000000"/>
          <w:lang w:val="en-US" w:bidi="he-IL"/>
        </w:rPr>
        <w:t>sael</w:t>
      </w:r>
      <w:proofErr w:type="spellEnd"/>
      <w:r w:rsidR="00FF57D9" w:rsidRPr="00027CA0">
        <w:rPr>
          <w:rFonts w:eastAsia="MS PGothic" w:hAnsi="Arial"/>
          <w:b/>
          <w:bCs/>
          <w:color w:val="000000"/>
          <w:lang w:val="en-US" w:bidi="he-IL"/>
        </w:rPr>
        <w:t xml:space="preserve"> Greenfeld</w:t>
      </w:r>
      <w:r w:rsidR="00027CA0">
        <w:rPr>
          <w:rFonts w:eastAsia="MS PGothic" w:hAnsi="Arial"/>
          <w:color w:val="000000"/>
          <w:vertAlign w:val="superscript"/>
          <w:lang w:val="en-US" w:bidi="he-IL"/>
        </w:rPr>
        <w:t>1,2</w:t>
      </w:r>
    </w:p>
    <w:p w:rsidR="00027CA0" w:rsidRPr="004733FD" w:rsidRDefault="00027CA0" w:rsidP="00027CA0">
      <w:pPr>
        <w:jc w:val="center"/>
        <w:rPr>
          <w:rFonts w:asciiTheme="majorBidi" w:eastAsiaTheme="minorHAnsi" w:hAnsiTheme="majorBidi" w:cstheme="majorBidi"/>
          <w:shd w:val="clear" w:color="auto" w:fill="FFFFFF"/>
          <w:lang w:eastAsia="en-US"/>
        </w:rPr>
      </w:pPr>
      <w:r>
        <w:rPr>
          <w:rFonts w:eastAsia="MS PGothic" w:hAnsi="Arial"/>
          <w:color w:val="000000"/>
        </w:rPr>
        <w:t xml:space="preserve">Co-aouthers: </w:t>
      </w:r>
      <w:r w:rsidRPr="00027CA0">
        <w:rPr>
          <w:rFonts w:asciiTheme="majorBidi" w:eastAsiaTheme="minorHAnsi" w:hAnsiTheme="majorBidi" w:cstheme="majorBidi"/>
          <w:shd w:val="clear" w:color="auto" w:fill="FFFFFF"/>
          <w:lang w:eastAsia="en-US"/>
        </w:rPr>
        <w:t>Nir Becker</w:t>
      </w:r>
      <w:r>
        <w:rPr>
          <w:rFonts w:asciiTheme="majorBidi" w:eastAsiaTheme="minorHAnsi" w:hAnsiTheme="majorBidi" w:cstheme="majorBidi"/>
          <w:shd w:val="clear" w:color="auto" w:fill="FFFFFF"/>
          <w:vertAlign w:val="superscript"/>
          <w:lang w:eastAsia="en-US"/>
        </w:rPr>
        <w:t>2</w:t>
      </w:r>
      <w:r w:rsidRPr="00027CA0">
        <w:rPr>
          <w:rFonts w:asciiTheme="majorBidi" w:eastAsiaTheme="minorHAnsi" w:hAnsiTheme="majorBidi" w:cstheme="majorBidi"/>
          <w:shd w:val="clear" w:color="auto" w:fill="FFFFFF"/>
          <w:lang w:eastAsia="en-US"/>
        </w:rPr>
        <w:t>, Jennifer McIlwain</w:t>
      </w:r>
      <w:r>
        <w:rPr>
          <w:rFonts w:asciiTheme="majorBidi" w:eastAsiaTheme="minorHAnsi" w:hAnsiTheme="majorBidi" w:cstheme="majorBidi"/>
          <w:shd w:val="clear" w:color="auto" w:fill="FFFFFF"/>
          <w:vertAlign w:val="superscript"/>
          <w:lang w:eastAsia="en-US"/>
        </w:rPr>
        <w:t>1</w:t>
      </w:r>
      <w:r w:rsidRPr="00027CA0">
        <w:rPr>
          <w:rFonts w:asciiTheme="majorBidi" w:eastAsiaTheme="minorHAnsi" w:hAnsiTheme="majorBidi" w:cstheme="majorBidi"/>
          <w:shd w:val="clear" w:color="auto" w:fill="FFFFFF"/>
          <w:lang w:eastAsia="en-US"/>
        </w:rPr>
        <w:t>, Janet F. Bornman</w:t>
      </w:r>
      <w:r>
        <w:rPr>
          <w:rFonts w:asciiTheme="majorBidi" w:eastAsiaTheme="minorHAnsi" w:hAnsiTheme="majorBidi" w:cstheme="majorBidi"/>
          <w:shd w:val="clear" w:color="auto" w:fill="FFFFFF"/>
          <w:vertAlign w:val="superscript"/>
          <w:lang w:eastAsia="en-US"/>
        </w:rPr>
        <w:t>3</w:t>
      </w:r>
      <w:r w:rsidRPr="00027CA0">
        <w:rPr>
          <w:rFonts w:asciiTheme="majorBidi" w:eastAsiaTheme="minorHAnsi" w:hAnsiTheme="majorBidi" w:cstheme="majorBidi"/>
          <w:shd w:val="clear" w:color="auto" w:fill="FFFFFF"/>
          <w:lang w:eastAsia="en-US"/>
        </w:rPr>
        <w:t>.</w:t>
      </w:r>
    </w:p>
    <w:p w:rsidR="00027CA0" w:rsidRDefault="00027CA0" w:rsidP="00027CA0">
      <w:pPr>
        <w:rPr>
          <w:rFonts w:asciiTheme="majorBidi" w:eastAsiaTheme="minorHAnsi" w:hAnsiTheme="majorBidi" w:cstheme="majorBidi"/>
          <w:shd w:val="clear" w:color="auto" w:fill="FFFFFF"/>
          <w:vertAlign w:val="superscript"/>
          <w:lang w:eastAsia="en-US"/>
        </w:rPr>
      </w:pPr>
    </w:p>
    <w:p w:rsidR="00027CA0" w:rsidRPr="004733FD" w:rsidRDefault="00027CA0" w:rsidP="00027CA0">
      <w:pPr>
        <w:rPr>
          <w:rFonts w:asciiTheme="majorBidi" w:eastAsiaTheme="minorHAnsi" w:hAnsiTheme="majorBidi" w:cstheme="majorBidi"/>
          <w:shd w:val="clear" w:color="auto" w:fill="FFFFFF"/>
          <w:lang w:eastAsia="en-US"/>
        </w:rPr>
      </w:pPr>
      <w:r>
        <w:rPr>
          <w:rFonts w:asciiTheme="majorBidi" w:eastAsiaTheme="minorHAnsi" w:hAnsiTheme="majorBidi" w:cstheme="majorBidi"/>
          <w:shd w:val="clear" w:color="auto" w:fill="FFFFFF"/>
          <w:vertAlign w:val="superscript"/>
          <w:lang w:eastAsia="en-US"/>
        </w:rPr>
        <w:t xml:space="preserve">1 </w:t>
      </w:r>
      <w:r>
        <w:rPr>
          <w:rFonts w:asciiTheme="majorBidi" w:eastAsiaTheme="minorHAnsi" w:hAnsiTheme="majorBidi" w:cstheme="majorBidi"/>
          <w:shd w:val="clear" w:color="auto" w:fill="FFFFFF"/>
          <w:lang w:eastAsia="en-US"/>
        </w:rPr>
        <w:t xml:space="preserve">- </w:t>
      </w:r>
      <w:r w:rsidRPr="004733FD">
        <w:rPr>
          <w:rFonts w:asciiTheme="majorBidi" w:eastAsiaTheme="minorHAnsi" w:hAnsiTheme="majorBidi" w:cstheme="majorBidi"/>
          <w:shd w:val="clear" w:color="auto" w:fill="FFFFFF"/>
          <w:lang w:eastAsia="en-US"/>
        </w:rPr>
        <w:t>Department of Environment and Agriculture. Curtin University, WA.</w:t>
      </w:r>
    </w:p>
    <w:p w:rsidR="00027CA0" w:rsidRPr="004733FD" w:rsidRDefault="00027CA0" w:rsidP="00027CA0">
      <w:pPr>
        <w:rPr>
          <w:rFonts w:asciiTheme="majorBidi" w:eastAsiaTheme="minorHAnsi" w:hAnsiTheme="majorBidi" w:cstheme="majorBidi"/>
          <w:shd w:val="clear" w:color="auto" w:fill="FFFFFF"/>
          <w:lang w:eastAsia="en-US"/>
        </w:rPr>
      </w:pPr>
      <w:r>
        <w:rPr>
          <w:rFonts w:asciiTheme="majorBidi" w:eastAsiaTheme="minorHAnsi" w:hAnsiTheme="majorBidi" w:cstheme="majorBidi"/>
          <w:shd w:val="clear" w:color="auto" w:fill="FFFFFF"/>
          <w:vertAlign w:val="superscript"/>
          <w:lang w:eastAsia="en-US"/>
        </w:rPr>
        <w:t xml:space="preserve">2 </w:t>
      </w:r>
      <w:r>
        <w:rPr>
          <w:rFonts w:asciiTheme="majorBidi" w:eastAsiaTheme="minorHAnsi" w:hAnsiTheme="majorBidi" w:cstheme="majorBidi"/>
          <w:shd w:val="clear" w:color="auto" w:fill="FFFFFF"/>
          <w:lang w:eastAsia="en-US"/>
        </w:rPr>
        <w:t>-</w:t>
      </w:r>
      <w:r w:rsidRPr="004733FD">
        <w:rPr>
          <w:rFonts w:asciiTheme="majorBidi" w:eastAsiaTheme="minorHAnsi" w:hAnsiTheme="majorBidi" w:cstheme="majorBidi"/>
          <w:shd w:val="clear" w:color="auto" w:fill="FFFFFF"/>
          <w:lang w:eastAsia="en-US"/>
        </w:rPr>
        <w:t>Faculty of Social and sciences and Humanities. Tel-Hai College, Israel</w:t>
      </w:r>
    </w:p>
    <w:p w:rsidR="00027CA0" w:rsidRDefault="00027CA0" w:rsidP="00027CA0">
      <w:pPr>
        <w:shd w:val="clear" w:color="auto" w:fill="FFFFFF"/>
        <w:spacing w:after="160"/>
        <w:rPr>
          <w:rFonts w:asciiTheme="majorBidi" w:eastAsiaTheme="minorHAnsi" w:hAnsiTheme="majorBidi" w:cstheme="majorBidi"/>
          <w:shd w:val="clear" w:color="auto" w:fill="FFFFFF"/>
          <w:lang w:eastAsia="en-US"/>
        </w:rPr>
      </w:pPr>
      <w:r>
        <w:rPr>
          <w:rFonts w:asciiTheme="majorBidi" w:eastAsiaTheme="minorHAnsi" w:hAnsiTheme="majorBidi" w:cstheme="majorBidi"/>
          <w:shd w:val="clear" w:color="auto" w:fill="FFFFFF"/>
          <w:vertAlign w:val="superscript"/>
          <w:lang w:eastAsia="en-US"/>
        </w:rPr>
        <w:t xml:space="preserve">3 </w:t>
      </w:r>
      <w:r>
        <w:rPr>
          <w:rFonts w:asciiTheme="majorBidi" w:eastAsiaTheme="minorHAnsi" w:hAnsiTheme="majorBidi" w:cstheme="majorBidi"/>
          <w:shd w:val="clear" w:color="auto" w:fill="FFFFFF"/>
          <w:lang w:eastAsia="en-US"/>
        </w:rPr>
        <w:t>-I</w:t>
      </w:r>
      <w:r w:rsidRPr="004733FD">
        <w:rPr>
          <w:rFonts w:asciiTheme="majorBidi" w:eastAsiaTheme="minorHAnsi" w:hAnsiTheme="majorBidi" w:cstheme="majorBidi"/>
          <w:shd w:val="clear" w:color="auto" w:fill="FFFFFF"/>
          <w:lang w:eastAsia="en-US"/>
        </w:rPr>
        <w:t xml:space="preserve">nternational Institute of Agri-Food Security. Curtin University, WA. </w:t>
      </w:r>
    </w:p>
    <w:p w:rsidR="00027CA0" w:rsidRDefault="00027CA0" w:rsidP="00B77EC0">
      <w:pPr>
        <w:rPr>
          <w:rFonts w:eastAsia="MS PGothic" w:hAnsi="Arial" w:hint="cs"/>
          <w:color w:val="000000"/>
          <w:lang w:bidi="he-IL"/>
        </w:rPr>
      </w:pPr>
    </w:p>
    <w:p w:rsidR="00AC3BCD" w:rsidRDefault="00AC3BCD" w:rsidP="00AC3BCD">
      <w:pPr>
        <w:jc w:val="center"/>
        <w:rPr>
          <w:rFonts w:eastAsia="Batang"/>
          <w:color w:val="0000FF"/>
          <w:sz w:val="36"/>
          <w:szCs w:val="36"/>
        </w:rPr>
      </w:pPr>
    </w:p>
    <w:p w:rsidR="00B77EC0" w:rsidRPr="00E74425" w:rsidRDefault="00B77EC0" w:rsidP="00A70EC9">
      <w:pPr>
        <w:spacing w:line="276" w:lineRule="auto"/>
        <w:rPr>
          <w:rFonts w:asciiTheme="majorBidi" w:hAnsiTheme="majorBidi" w:cstheme="majorBidi"/>
        </w:rPr>
      </w:pPr>
      <w:r w:rsidRPr="00E74425">
        <w:rPr>
          <w:rFonts w:asciiTheme="majorBidi" w:hAnsiTheme="majorBidi" w:cstheme="majorBidi"/>
        </w:rPr>
        <w:t>Aquaponics</w:t>
      </w:r>
      <w:r>
        <w:rPr>
          <w:rFonts w:asciiTheme="majorBidi" w:hAnsiTheme="majorBidi" w:cstheme="majorBidi"/>
          <w:lang w:val="en-US"/>
        </w:rPr>
        <w:t>,</w:t>
      </w:r>
      <w:r w:rsidRPr="00E74425">
        <w:rPr>
          <w:rFonts w:asciiTheme="majorBidi" w:hAnsiTheme="majorBidi" w:cstheme="majorBidi"/>
        </w:rPr>
        <w:t xml:space="preserve"> or integrated farming of fish and plants</w:t>
      </w:r>
      <w:r>
        <w:rPr>
          <w:rFonts w:asciiTheme="majorBidi" w:hAnsiTheme="majorBidi" w:cstheme="majorBidi"/>
        </w:rPr>
        <w:t>, has potential for</w:t>
      </w:r>
      <w:r w:rsidRPr="00E74425">
        <w:rPr>
          <w:rFonts w:asciiTheme="majorBidi" w:hAnsiTheme="majorBidi" w:cstheme="majorBidi"/>
        </w:rPr>
        <w:t xml:space="preserve"> sustainably producing high quality food</w:t>
      </w:r>
      <w:r>
        <w:rPr>
          <w:rFonts w:asciiTheme="majorBidi" w:hAnsiTheme="majorBidi" w:cstheme="majorBidi"/>
        </w:rPr>
        <w:t xml:space="preserve">, </w:t>
      </w:r>
      <w:r w:rsidRPr="00E74425">
        <w:rPr>
          <w:rFonts w:asciiTheme="majorBidi" w:hAnsiTheme="majorBidi" w:cstheme="majorBidi"/>
        </w:rPr>
        <w:t xml:space="preserve">but has not become a commercial success in most places. </w:t>
      </w:r>
      <w:r w:rsidR="00A70EC9">
        <w:rPr>
          <w:rFonts w:asciiTheme="majorBidi" w:hAnsiTheme="majorBidi" w:cstheme="majorBidi"/>
        </w:rPr>
        <w:t>I</w:t>
      </w:r>
      <w:r w:rsidRPr="00E74425">
        <w:rPr>
          <w:rFonts w:asciiTheme="majorBidi" w:hAnsiTheme="majorBidi" w:cstheme="majorBidi"/>
        </w:rPr>
        <w:t xml:space="preserve">n recent years, aquaponics has been receiving growing attention from the scientific community, and the current literature covers many aspects of aquaponics production. We reviewed the current literature and classified the specific areas covered </w:t>
      </w:r>
      <w:r>
        <w:rPr>
          <w:rFonts w:asciiTheme="majorBidi" w:hAnsiTheme="majorBidi" w:cstheme="majorBidi"/>
        </w:rPr>
        <w:t xml:space="preserve">by each paper </w:t>
      </w:r>
      <w:r w:rsidRPr="00E74425">
        <w:rPr>
          <w:rFonts w:asciiTheme="majorBidi" w:hAnsiTheme="majorBidi" w:cstheme="majorBidi"/>
        </w:rPr>
        <w:t xml:space="preserve">and </w:t>
      </w:r>
      <w:r>
        <w:rPr>
          <w:rFonts w:asciiTheme="majorBidi" w:hAnsiTheme="majorBidi" w:cstheme="majorBidi"/>
        </w:rPr>
        <w:t>its contribution to cost reduction or benefit enhancement.</w:t>
      </w:r>
      <w:r w:rsidRPr="00E74425">
        <w:rPr>
          <w:rFonts w:asciiTheme="majorBidi" w:hAnsiTheme="majorBidi" w:cstheme="majorBidi"/>
        </w:rPr>
        <w:t xml:space="preserve"> </w:t>
      </w:r>
      <w:r w:rsidR="00A70EC9">
        <w:rPr>
          <w:rFonts w:asciiTheme="majorBidi" w:hAnsiTheme="majorBidi" w:cstheme="majorBidi"/>
        </w:rPr>
        <w:t>R</w:t>
      </w:r>
      <w:r>
        <w:rPr>
          <w:rFonts w:asciiTheme="majorBidi" w:hAnsiTheme="majorBidi" w:cstheme="majorBidi"/>
        </w:rPr>
        <w:t xml:space="preserve">egardless of contradicting views of current profitability, there seems to be a consensus that 1) bigger systems are economically superior to smaller ones; 2) profitability is sensitive to retail prices; and perhaps most importantly, most authors agree that commercial aquaponics can become more profitable by improving business plans. </w:t>
      </w:r>
      <w:r w:rsidR="00A70EC9">
        <w:rPr>
          <w:rFonts w:asciiTheme="majorBidi" w:hAnsiTheme="majorBidi" w:cstheme="majorBidi"/>
        </w:rPr>
        <w:t>We identified</w:t>
      </w:r>
      <w:r w:rsidRPr="00E74425">
        <w:rPr>
          <w:rFonts w:asciiTheme="majorBidi" w:hAnsiTheme="majorBidi" w:cstheme="majorBidi"/>
        </w:rPr>
        <w:t xml:space="preserve"> three under-studied aspects that could each be a “game changer” for commercial aquaponics: 1) Growe</w:t>
      </w:r>
      <w:r>
        <w:rPr>
          <w:rFonts w:asciiTheme="majorBidi" w:hAnsiTheme="majorBidi" w:cstheme="majorBidi"/>
        </w:rPr>
        <w:t>r</w:t>
      </w:r>
      <w:r w:rsidRPr="00E74425">
        <w:rPr>
          <w:rFonts w:asciiTheme="majorBidi" w:hAnsiTheme="majorBidi" w:cstheme="majorBidi"/>
        </w:rPr>
        <w:t xml:space="preserve"> considerations such as financial planning and risk management that may affect potential growers’ initial engagement in aquaponics; 2) Consumer perception of aquaponics products including willingness to pay more for th</w:t>
      </w:r>
      <w:r>
        <w:rPr>
          <w:rFonts w:asciiTheme="majorBidi" w:hAnsiTheme="majorBidi" w:cstheme="majorBidi"/>
        </w:rPr>
        <w:t>e</w:t>
      </w:r>
      <w:r w:rsidRPr="00E74425">
        <w:rPr>
          <w:rFonts w:asciiTheme="majorBidi" w:hAnsiTheme="majorBidi" w:cstheme="majorBidi"/>
        </w:rPr>
        <w:t xml:space="preserve"> added value; 3) The economic value of environmental benefits of </w:t>
      </w:r>
      <w:r>
        <w:rPr>
          <w:rFonts w:asciiTheme="majorBidi" w:hAnsiTheme="majorBidi" w:cstheme="majorBidi"/>
        </w:rPr>
        <w:t>aquaponic system</w:t>
      </w:r>
      <w:r w:rsidRPr="00E74425">
        <w:rPr>
          <w:rFonts w:asciiTheme="majorBidi" w:hAnsiTheme="majorBidi" w:cstheme="majorBidi"/>
        </w:rPr>
        <w:t xml:space="preserve">s, and ways to internalise them. </w:t>
      </w:r>
      <w:r w:rsidR="00A70EC9">
        <w:rPr>
          <w:rFonts w:asciiTheme="majorBidi" w:hAnsiTheme="majorBidi" w:cstheme="majorBidi"/>
          <w:lang w:val="en-US" w:bidi="he-IL"/>
        </w:rPr>
        <w:t xml:space="preserve">We present some results from our </w:t>
      </w:r>
      <w:r w:rsidR="00A70EC9" w:rsidRPr="00A70EC9">
        <w:rPr>
          <w:rFonts w:asciiTheme="majorBidi" w:hAnsiTheme="majorBidi" w:cstheme="majorBidi"/>
          <w:lang w:val="en-AU" w:bidi="he-IL"/>
        </w:rPr>
        <w:t xml:space="preserve">study on growers’ and consumers’ </w:t>
      </w:r>
      <w:r w:rsidR="00AF1E48">
        <w:rPr>
          <w:rFonts w:asciiTheme="majorBidi" w:hAnsiTheme="majorBidi" w:cstheme="majorBidi"/>
          <w:lang w:val="en-AU" w:bidi="he-IL"/>
        </w:rPr>
        <w:t>perception</w:t>
      </w:r>
      <w:r w:rsidR="00AF1E48" w:rsidRPr="00A70EC9">
        <w:rPr>
          <w:rFonts w:asciiTheme="majorBidi" w:hAnsiTheme="majorBidi" w:cstheme="majorBidi"/>
          <w:lang w:val="en-AU" w:bidi="he-IL"/>
        </w:rPr>
        <w:t xml:space="preserve"> </w:t>
      </w:r>
      <w:r w:rsidR="00A70EC9" w:rsidRPr="00A70EC9">
        <w:rPr>
          <w:rFonts w:asciiTheme="majorBidi" w:hAnsiTheme="majorBidi" w:cstheme="majorBidi"/>
          <w:lang w:val="en-AU" w:bidi="he-IL"/>
        </w:rPr>
        <w:t>of aquaponics that highlight the importance of case specific b</w:t>
      </w:r>
      <w:r w:rsidR="00A70EC9">
        <w:rPr>
          <w:rFonts w:asciiTheme="majorBidi" w:hAnsiTheme="majorBidi" w:cstheme="majorBidi"/>
          <w:lang w:val="en-AU" w:bidi="he-IL"/>
        </w:rPr>
        <w:t>usi</w:t>
      </w:r>
      <w:r w:rsidR="00A70EC9" w:rsidRPr="00A70EC9">
        <w:rPr>
          <w:rFonts w:asciiTheme="majorBidi" w:hAnsiTheme="majorBidi" w:cstheme="majorBidi"/>
          <w:lang w:val="en-AU" w:bidi="he-IL"/>
        </w:rPr>
        <w:t>ne</w:t>
      </w:r>
      <w:r w:rsidR="00A70EC9">
        <w:rPr>
          <w:rFonts w:asciiTheme="majorBidi" w:hAnsiTheme="majorBidi" w:cstheme="majorBidi"/>
          <w:lang w:val="en-AU" w:bidi="he-IL"/>
        </w:rPr>
        <w:t>s</w:t>
      </w:r>
      <w:r w:rsidR="00A70EC9" w:rsidRPr="00A70EC9">
        <w:rPr>
          <w:rFonts w:asciiTheme="majorBidi" w:hAnsiTheme="majorBidi" w:cstheme="majorBidi"/>
          <w:lang w:val="en-AU" w:bidi="he-IL"/>
        </w:rPr>
        <w:t>s</w:t>
      </w:r>
      <w:r w:rsidR="00A70EC9">
        <w:rPr>
          <w:rFonts w:asciiTheme="majorBidi" w:hAnsiTheme="majorBidi" w:cstheme="majorBidi"/>
          <w:lang w:val="en-US" w:bidi="he-IL"/>
        </w:rPr>
        <w:t xml:space="preserve"> planning and market research. </w:t>
      </w:r>
      <w:r w:rsidRPr="00E74425">
        <w:rPr>
          <w:rFonts w:asciiTheme="majorBidi" w:hAnsiTheme="majorBidi" w:cstheme="majorBidi"/>
        </w:rPr>
        <w:t xml:space="preserve">Further study of each of these </w:t>
      </w:r>
      <w:r w:rsidR="00A501AD">
        <w:rPr>
          <w:rFonts w:asciiTheme="majorBidi" w:hAnsiTheme="majorBidi" w:cstheme="majorBidi"/>
        </w:rPr>
        <w:t xml:space="preserve">three </w:t>
      </w:r>
      <w:r w:rsidRPr="00E74425">
        <w:rPr>
          <w:rFonts w:asciiTheme="majorBidi" w:hAnsiTheme="majorBidi" w:cstheme="majorBidi"/>
        </w:rPr>
        <w:t xml:space="preserve">aspects will </w:t>
      </w:r>
      <w:r>
        <w:rPr>
          <w:rFonts w:asciiTheme="majorBidi" w:hAnsiTheme="majorBidi" w:cstheme="majorBidi"/>
        </w:rPr>
        <w:t xml:space="preserve">support ongoing attempts to establish </w:t>
      </w:r>
      <w:r w:rsidRPr="00E74425">
        <w:rPr>
          <w:rFonts w:asciiTheme="majorBidi" w:hAnsiTheme="majorBidi" w:cstheme="majorBidi"/>
        </w:rPr>
        <w:t>large</w:t>
      </w:r>
      <w:r>
        <w:rPr>
          <w:rFonts w:asciiTheme="majorBidi" w:hAnsiTheme="majorBidi" w:cstheme="majorBidi"/>
        </w:rPr>
        <w:t>-</w:t>
      </w:r>
      <w:r w:rsidRPr="00E74425">
        <w:rPr>
          <w:rFonts w:asciiTheme="majorBidi" w:hAnsiTheme="majorBidi" w:cstheme="majorBidi"/>
        </w:rPr>
        <w:t xml:space="preserve">scale aquaponics as an economically sustainable practice.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501AD" w:rsidP="00154B26">
      <w:pPr>
        <w:jc w:val="both"/>
        <w:rPr>
          <w:rFonts w:eastAsia="MS PGothic"/>
          <w:b/>
          <w:color w:val="000000"/>
          <w:szCs w:val="32"/>
        </w:rPr>
      </w:pPr>
      <w:r>
        <w:t>Asael Greenfeld</w:t>
      </w:r>
      <w:r w:rsidR="00AC3BCD">
        <w:t xml:space="preserve"> </w:t>
      </w:r>
      <w:r>
        <w:t>has an MSc in dryland Ecology from BGU Israel and following years of enviromental education</w:t>
      </w:r>
      <w:r w:rsidR="00154B26">
        <w:t xml:space="preserve"> is Israel and Australia</w:t>
      </w:r>
      <w:r>
        <w:t xml:space="preserve">, </w:t>
      </w:r>
      <w:r w:rsidR="00154B26">
        <w:t>ha</w:t>
      </w:r>
      <w:r w:rsidR="00AC3BCD">
        <w:t xml:space="preserve">s </w:t>
      </w:r>
      <w:r w:rsidR="00154B26">
        <w:t xml:space="preserve">taken </w:t>
      </w:r>
      <w:r>
        <w:t xml:space="preserve">on a </w:t>
      </w:r>
      <w:r w:rsidR="00AC3BCD">
        <w:t xml:space="preserve">PhD </w:t>
      </w:r>
      <w:r>
        <w:t xml:space="preserve">course in </w:t>
      </w:r>
      <w:r w:rsidR="00AF1E48">
        <w:t xml:space="preserve">Environmental </w:t>
      </w:r>
      <w:r>
        <w:t xml:space="preserve">Economics </w:t>
      </w:r>
      <w:r w:rsidR="00AF1E48">
        <w:t>at</w:t>
      </w:r>
      <w:bookmarkStart w:id="0" w:name="_GoBack"/>
      <w:bookmarkEnd w:id="0"/>
      <w:r w:rsidR="00AF1E48">
        <w:t xml:space="preserve"> </w:t>
      </w:r>
      <w:r>
        <w:t>Curtin University WA, in conjunction with the Tel-Hai academic college in Israel</w:t>
      </w:r>
      <w:r w:rsidR="00AC3BCD">
        <w:t>.</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A501AD">
        <w:rPr>
          <w:lang w:val="en-NZ"/>
        </w:rPr>
        <w:t>Asael Greenfeld</w:t>
      </w:r>
      <w:r w:rsidRPr="008A690F">
        <w:rPr>
          <w:lang w:val="en-NZ"/>
        </w:rPr>
        <w:br/>
        <w:t>Contact number:</w:t>
      </w:r>
      <w:r w:rsidR="00A501AD">
        <w:rPr>
          <w:lang w:val="en-NZ"/>
        </w:rPr>
        <w:t xml:space="preserve"> +972-54-7138372</w:t>
      </w:r>
      <w:r w:rsidRPr="008A690F">
        <w:rPr>
          <w:lang w:val="en-NZ"/>
        </w:rPr>
        <w:br/>
        <w:t>Twitter account:</w:t>
      </w:r>
      <w:r w:rsidRPr="008A690F">
        <w:rPr>
          <w:lang w:val="en-NZ"/>
        </w:rPr>
        <w:br/>
        <w:t>Linked In account:</w:t>
      </w:r>
      <w:r w:rsidR="00A501AD">
        <w:rPr>
          <w:lang w:val="en-NZ"/>
        </w:rPr>
        <w:t xml:space="preserve"> </w:t>
      </w:r>
      <w:hyperlink r:id="rId9" w:history="1">
        <w:r w:rsidR="00A501AD" w:rsidRPr="00EC0971">
          <w:rPr>
            <w:rStyle w:val="Hyperlink"/>
            <w:lang w:val="en-NZ"/>
          </w:rPr>
          <w:t>https://www.linkedin.com/in/asael-greenfeld</w:t>
        </w:r>
      </w:hyperlink>
    </w:p>
    <w:p w:rsidR="00AC3BCD" w:rsidRDefault="00AC3BCD" w:rsidP="00EC0971">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EC0971">
        <w:rPr>
          <w:lang w:val="en-NZ"/>
        </w:rPr>
        <w:t xml:space="preserve"> </w:t>
      </w:r>
      <w:r w:rsidR="00EC0971">
        <w:t>Agricultural Production Systems &amp; Agribusiness / Organic farming / Agriculture and Environment</w:t>
      </w:r>
      <w:r w:rsidRPr="008A690F">
        <w:rPr>
          <w:lang w:val="en-NZ"/>
        </w:rPr>
        <w:br/>
        <w:t>Category: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421" w:rsidRDefault="00057421" w:rsidP="00671A59">
      <w:r>
        <w:separator/>
      </w:r>
    </w:p>
  </w:endnote>
  <w:endnote w:type="continuationSeparator" w:id="0">
    <w:p w:rsidR="00057421" w:rsidRDefault="00057421"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421" w:rsidRDefault="00057421" w:rsidP="00671A59">
      <w:r>
        <w:separator/>
      </w:r>
    </w:p>
  </w:footnote>
  <w:footnote w:type="continuationSeparator" w:id="0">
    <w:p w:rsidR="00057421" w:rsidRDefault="00057421"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BF5676"/>
    <w:rsid w:val="00023D76"/>
    <w:rsid w:val="00027CA0"/>
    <w:rsid w:val="00057421"/>
    <w:rsid w:val="00072E30"/>
    <w:rsid w:val="00085B88"/>
    <w:rsid w:val="00090564"/>
    <w:rsid w:val="00097CA5"/>
    <w:rsid w:val="000A4C72"/>
    <w:rsid w:val="000E7A02"/>
    <w:rsid w:val="00101A04"/>
    <w:rsid w:val="00106952"/>
    <w:rsid w:val="001216E5"/>
    <w:rsid w:val="0013563F"/>
    <w:rsid w:val="00145878"/>
    <w:rsid w:val="00154B26"/>
    <w:rsid w:val="001A411C"/>
    <w:rsid w:val="001B1336"/>
    <w:rsid w:val="001B6DE6"/>
    <w:rsid w:val="001C4EE0"/>
    <w:rsid w:val="001F414A"/>
    <w:rsid w:val="00205354"/>
    <w:rsid w:val="002659F1"/>
    <w:rsid w:val="00270EC9"/>
    <w:rsid w:val="00292DC0"/>
    <w:rsid w:val="002B14E9"/>
    <w:rsid w:val="002B18D5"/>
    <w:rsid w:val="002C0F2B"/>
    <w:rsid w:val="003753DD"/>
    <w:rsid w:val="003A4429"/>
    <w:rsid w:val="003F7F34"/>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501AD"/>
    <w:rsid w:val="00A668A1"/>
    <w:rsid w:val="00A70EC9"/>
    <w:rsid w:val="00A76E81"/>
    <w:rsid w:val="00A83688"/>
    <w:rsid w:val="00A83863"/>
    <w:rsid w:val="00AC3BCD"/>
    <w:rsid w:val="00AD6315"/>
    <w:rsid w:val="00AF1E48"/>
    <w:rsid w:val="00AF4356"/>
    <w:rsid w:val="00B26097"/>
    <w:rsid w:val="00B27625"/>
    <w:rsid w:val="00B675D9"/>
    <w:rsid w:val="00B77EC0"/>
    <w:rsid w:val="00BC105D"/>
    <w:rsid w:val="00BF5676"/>
    <w:rsid w:val="00CD6F7B"/>
    <w:rsid w:val="00CE08A2"/>
    <w:rsid w:val="00D367E3"/>
    <w:rsid w:val="00DA2249"/>
    <w:rsid w:val="00DA581F"/>
    <w:rsid w:val="00DC29A1"/>
    <w:rsid w:val="00DC7405"/>
    <w:rsid w:val="00DD3006"/>
    <w:rsid w:val="00DE2102"/>
    <w:rsid w:val="00E119D1"/>
    <w:rsid w:val="00E713DA"/>
    <w:rsid w:val="00E85CF8"/>
    <w:rsid w:val="00EB353E"/>
    <w:rsid w:val="00EC0971"/>
    <w:rsid w:val="00ED51D7"/>
    <w:rsid w:val="00ED6109"/>
    <w:rsid w:val="00EE1DF0"/>
    <w:rsid w:val="00F01887"/>
    <w:rsid w:val="00F215A7"/>
    <w:rsid w:val="00F42DCF"/>
    <w:rsid w:val="00F709F5"/>
    <w:rsid w:val="00F90AE2"/>
    <w:rsid w:val="00FA5CBE"/>
    <w:rsid w:val="00FB641C"/>
    <w:rsid w:val="00FC1073"/>
    <w:rsid w:val="00FF16A7"/>
    <w:rsid w:val="00FF57D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EE0"/>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1C4EE0"/>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1C4EE0"/>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1C4EE0"/>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1C4EE0"/>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1C4EE0"/>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1C4EE0"/>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1C4EE0"/>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asael-greenfel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702EA-BFF7-4996-B912-43E94410D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2419</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2017-11-09T12:26:00Z</dcterms:created>
  <dcterms:modified xsi:type="dcterms:W3CDTF">2017-11-09T12:26:00Z</dcterms:modified>
</cp:coreProperties>
</file>